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5DD" w:rsidRPr="002560BB" w:rsidRDefault="003F75DD" w:rsidP="003F75DD">
      <w:pPr>
        <w:jc w:val="center"/>
        <w:rPr>
          <w:b/>
          <w:sz w:val="28"/>
          <w:szCs w:val="28"/>
        </w:rPr>
      </w:pPr>
      <w:r w:rsidRPr="002560BB">
        <w:rPr>
          <w:b/>
          <w:sz w:val="28"/>
          <w:szCs w:val="28"/>
        </w:rPr>
        <w:t>Chapter 715, Florida Statures</w:t>
      </w:r>
    </w:p>
    <w:p w:rsidR="003F75DD" w:rsidRPr="002560BB" w:rsidRDefault="003F75DD" w:rsidP="003F75DD">
      <w:pPr>
        <w:spacing w:line="360" w:lineRule="auto"/>
        <w:jc w:val="center"/>
        <w:rPr>
          <w:sz w:val="28"/>
          <w:szCs w:val="28"/>
        </w:rPr>
      </w:pPr>
      <w:r w:rsidRPr="002560BB">
        <w:rPr>
          <w:b/>
          <w:sz w:val="28"/>
          <w:szCs w:val="28"/>
        </w:rPr>
        <w:t>The Disposition of Personal Property Landlord and Tenant Act</w:t>
      </w:r>
    </w:p>
    <w:p w:rsidR="003F75DD" w:rsidRDefault="003F75DD" w:rsidP="003F75DD">
      <w:pPr>
        <w:widowControl w:val="0"/>
        <w:autoSpaceDE w:val="0"/>
        <w:autoSpaceDN w:val="0"/>
        <w:adjustRightInd w:val="0"/>
        <w:spacing w:line="360" w:lineRule="auto"/>
        <w:ind w:firstLine="720"/>
        <w:jc w:val="both"/>
      </w:pPr>
      <w:r w:rsidRPr="00461E32">
        <w:t>The Disposition of Personal Property Landlord and Tenant Act</w:t>
      </w:r>
      <w:bookmarkStart w:id="0" w:name="Document1zzFN_BI0d6431b7a99711"/>
      <w:bookmarkEnd w:id="0"/>
      <w:r w:rsidRPr="00461E32">
        <w:t>,</w:t>
      </w:r>
      <w:r>
        <w:t xml:space="preserve"> Sections 715.10 through 715.111, Fla., Stat. (“Act”), </w:t>
      </w:r>
      <w:r w:rsidRPr="00461E32">
        <w:t xml:space="preserve">furnishes </w:t>
      </w:r>
      <w:r>
        <w:t xml:space="preserve">a landlord with </w:t>
      </w:r>
      <w:r w:rsidRPr="00461E32">
        <w:t xml:space="preserve">an optional procedure for the disposition of </w:t>
      </w:r>
      <w:r>
        <w:t xml:space="preserve">a </w:t>
      </w:r>
      <w:r w:rsidRPr="00461E32">
        <w:t xml:space="preserve">personal property which remains on the premises after a nonresidential tenancy is terminated or expires and the premises have been vacated by the tenant through eviction, surrender, abandonment, or otherwise.  </w:t>
      </w:r>
      <w:r>
        <w:t xml:space="preserve">§ 715.101(1), </w:t>
      </w:r>
      <w:r w:rsidRPr="002560BB">
        <w:rPr>
          <w:i/>
        </w:rPr>
        <w:t>Fla. Stat</w:t>
      </w:r>
      <w:r>
        <w:t xml:space="preserve">.   </w:t>
      </w:r>
      <w:r w:rsidRPr="00461E32">
        <w:t>The Act makes provision with regard to</w:t>
      </w:r>
      <w:r>
        <w:t xml:space="preserve">: (a) </w:t>
      </w:r>
      <w:r w:rsidRPr="00461E32">
        <w:t>lost property</w:t>
      </w:r>
      <w:r>
        <w:t xml:space="preserve">; (b) </w:t>
      </w:r>
      <w:r w:rsidRPr="00461E32">
        <w:t>notification of the former tenant</w:t>
      </w:r>
      <w:r>
        <w:t xml:space="preserve">  or other owner other than the former tenant; (c) </w:t>
      </w:r>
      <w:r w:rsidRPr="00461E32">
        <w:t>the form of the notice to the former tenant</w:t>
      </w:r>
      <w:r>
        <w:t xml:space="preserve"> </w:t>
      </w:r>
      <w:r w:rsidRPr="00461E32">
        <w:t>or to the owner other than the former tenant</w:t>
      </w:r>
      <w:r>
        <w:t xml:space="preserve">; (d) </w:t>
      </w:r>
      <w:r w:rsidRPr="00461E32">
        <w:t>storage of abandoned property</w:t>
      </w:r>
      <w:r>
        <w:t xml:space="preserve">; (e) </w:t>
      </w:r>
      <w:r w:rsidRPr="00461E32">
        <w:t>release of the personal property to the owner, or</w:t>
      </w:r>
      <w:r>
        <w:t xml:space="preserve"> </w:t>
      </w:r>
      <w:r w:rsidRPr="00461E32">
        <w:t xml:space="preserve">its sale or disposition, </w:t>
      </w:r>
      <w:r>
        <w:t xml:space="preserve">(f) </w:t>
      </w:r>
      <w:r w:rsidRPr="00461E32">
        <w:t>liability of the landlord after disposition of the property</w:t>
      </w:r>
      <w:r>
        <w:t>;</w:t>
      </w:r>
      <w:r w:rsidRPr="00461E32">
        <w:t xml:space="preserve"> and </w:t>
      </w:r>
      <w:r>
        <w:t xml:space="preserve">(g) </w:t>
      </w:r>
      <w:r w:rsidRPr="00461E32">
        <w:t>assessment of the costs of storage</w:t>
      </w:r>
      <w:r>
        <w:t>.</w:t>
      </w:r>
      <w:r w:rsidRPr="00461E32">
        <w:t xml:space="preserve"> </w:t>
      </w:r>
    </w:p>
    <w:p w:rsidR="003F75DD" w:rsidRPr="00F47C1A" w:rsidRDefault="003F75DD" w:rsidP="003F75DD">
      <w:pPr>
        <w:spacing w:line="360" w:lineRule="auto"/>
        <w:ind w:right="10" w:firstLine="720"/>
        <w:jc w:val="both"/>
        <w:rPr>
          <w:i/>
        </w:rPr>
      </w:pPr>
      <w:r>
        <w:rPr>
          <w:bCs/>
        </w:rPr>
        <w:t>A tenant’s p</w:t>
      </w:r>
      <w:r>
        <w:t xml:space="preserve">ersonal property which the landlord reasonably believes to have been lost shall be disposed of as otherwise provided by law. </w:t>
      </w:r>
      <w:r w:rsidRPr="00F431F1">
        <w:rPr>
          <w:bCs/>
        </w:rPr>
        <w:t>§ 715.103</w:t>
      </w:r>
      <w:r>
        <w:rPr>
          <w:bCs/>
        </w:rPr>
        <w:t xml:space="preserve">, </w:t>
      </w:r>
      <w:r w:rsidRPr="00871C4A">
        <w:rPr>
          <w:bCs/>
          <w:i/>
        </w:rPr>
        <w:t>Fla. Stat</w:t>
      </w:r>
      <w:r>
        <w:rPr>
          <w:bCs/>
        </w:rPr>
        <w:t>.</w:t>
      </w:r>
      <w:r>
        <w:t xml:space="preserve">  </w:t>
      </w:r>
      <w:r>
        <w:rPr>
          <w:i/>
        </w:rPr>
        <w:t xml:space="preserve">See </w:t>
      </w:r>
      <w:r>
        <w:t xml:space="preserve">Chapter 705, </w:t>
      </w:r>
      <w:r w:rsidRPr="00F47C1A">
        <w:rPr>
          <w:i/>
        </w:rPr>
        <w:t>Florida Statutes</w:t>
      </w:r>
      <w:r>
        <w:t xml:space="preserve">.  However, if the appropriate law enforcement or other government agency refuses to accept custody of property pursuant to Chapter 705, Fla. Stat., the landlord may dispose of the property pursuant to the Act.  In that case, the landlord is not liable to the owner of the property if she or he complies with the Act.  </w:t>
      </w:r>
      <w:r>
        <w:rPr>
          <w:i/>
        </w:rPr>
        <w:t>Id.</w:t>
      </w:r>
    </w:p>
    <w:p w:rsidR="003F75DD" w:rsidRPr="000831C9" w:rsidRDefault="003F75DD" w:rsidP="003F75DD">
      <w:pPr>
        <w:autoSpaceDE w:val="0"/>
        <w:autoSpaceDN w:val="0"/>
        <w:adjustRightInd w:val="0"/>
        <w:spacing w:line="360" w:lineRule="auto"/>
        <w:ind w:right="14"/>
        <w:jc w:val="both"/>
        <w:rPr>
          <w:b/>
        </w:rPr>
      </w:pPr>
      <w:r>
        <w:tab/>
        <w:t>Upon discovery that the tenant’s personal property following expiration of the lease term, eviction or abandonment, the landlord should inventory the property and determine its value.  Once a value is placed on the property, the landlord is required to provide the tenant with notice regarding the procedure to reclaim the property or the property will be disposed of in the manner described in the notice.</w:t>
      </w:r>
    </w:p>
    <w:p w:rsidR="003F75DD" w:rsidRPr="004A5291" w:rsidRDefault="003F75DD" w:rsidP="003F75DD">
      <w:pPr>
        <w:pStyle w:val="ListParagraph"/>
        <w:widowControl w:val="0"/>
        <w:numPr>
          <w:ilvl w:val="0"/>
          <w:numId w:val="3"/>
        </w:numPr>
        <w:autoSpaceDE w:val="0"/>
        <w:autoSpaceDN w:val="0"/>
        <w:adjustRightInd w:val="0"/>
        <w:spacing w:line="360" w:lineRule="auto"/>
        <w:ind w:left="1440" w:right="10" w:hanging="720"/>
        <w:jc w:val="both"/>
        <w:rPr>
          <w:b/>
        </w:rPr>
      </w:pPr>
      <w:r w:rsidRPr="004A5291">
        <w:rPr>
          <w:b/>
        </w:rPr>
        <w:t>Notification of former tenant</w:t>
      </w:r>
    </w:p>
    <w:p w:rsidR="003F75DD" w:rsidRDefault="003F75DD" w:rsidP="003F75DD">
      <w:pPr>
        <w:spacing w:line="360" w:lineRule="auto"/>
        <w:ind w:right="10"/>
        <w:jc w:val="both"/>
        <w:rPr>
          <w:i/>
        </w:rPr>
      </w:pPr>
      <w:r>
        <w:tab/>
        <w:t xml:space="preserve">Pursuant to § </w:t>
      </w:r>
      <w:r w:rsidRPr="00F431F1">
        <w:rPr>
          <w:bCs/>
        </w:rPr>
        <w:t>715.104</w:t>
      </w:r>
      <w:r>
        <w:rPr>
          <w:bCs/>
        </w:rPr>
        <w:t xml:space="preserve">(1), Fla. Stat., </w:t>
      </w:r>
      <w:r>
        <w:t xml:space="preserve">the landlord must give written notice to the tenant and to any other person the landlord reasonably believes to be the owner of the property.  The notice must adequately describe the property to permit the owner of the property to identify it. </w:t>
      </w:r>
      <w:proofErr w:type="gramStart"/>
      <w:r>
        <w:rPr>
          <w:i/>
        </w:rPr>
        <w:t xml:space="preserve">Id. </w:t>
      </w:r>
      <w:r>
        <w:t>at (2).</w:t>
      </w:r>
      <w:proofErr w:type="gramEnd"/>
      <w:r>
        <w:t xml:space="preserve">  The notice may describe all or a portion of the property, but the limitation of liability provided by the Act will not protect the landlord from liability arising from disposing of property not described in the notice.  </w:t>
      </w:r>
      <w:r>
        <w:rPr>
          <w:i/>
        </w:rPr>
        <w:t xml:space="preserve">Id.  </w:t>
      </w:r>
      <w:r>
        <w:t xml:space="preserve">There is an exception:  a trunk, valise, box, or other container </w:t>
      </w:r>
      <w:r>
        <w:lastRenderedPageBreak/>
        <w:t xml:space="preserve">which is locked, fastened, or tied in a manner which deters immediate access to its contents may be described as such without describing its contents. </w:t>
      </w:r>
      <w:r>
        <w:rPr>
          <w:i/>
        </w:rPr>
        <w:t xml:space="preserve">Id.  </w:t>
      </w:r>
    </w:p>
    <w:p w:rsidR="003F75DD" w:rsidRDefault="003F75DD" w:rsidP="003F75DD">
      <w:pPr>
        <w:spacing w:line="360" w:lineRule="auto"/>
        <w:ind w:right="10" w:firstLine="720"/>
        <w:jc w:val="both"/>
      </w:pPr>
      <w:r>
        <w:t xml:space="preserve">The notice must also inform the person that the landlord will charge reasonable costs of storage before the property is returned, and state where the property may be claimed and the date before which the claim must be made. </w:t>
      </w:r>
      <w:r>
        <w:rPr>
          <w:i/>
        </w:rPr>
        <w:t xml:space="preserve">Id.  </w:t>
      </w:r>
      <w:r>
        <w:t xml:space="preserve">The deadline for recovering the property from the landlord cannot be fewer than 10 days after the notice is personally delivered or, if mailed, not fewer than 15 days after the notice is deposited in the mail. </w:t>
      </w:r>
      <w:r w:rsidRPr="006E7F15">
        <w:rPr>
          <w:i/>
        </w:rPr>
        <w:t>Id</w:t>
      </w:r>
      <w:r>
        <w:t xml:space="preserve">.  </w:t>
      </w:r>
    </w:p>
    <w:p w:rsidR="003F75DD" w:rsidRDefault="003F75DD" w:rsidP="003F75DD">
      <w:pPr>
        <w:spacing w:line="360" w:lineRule="auto"/>
        <w:ind w:right="10" w:firstLine="720"/>
        <w:jc w:val="both"/>
        <w:rPr>
          <w:sz w:val="15"/>
          <w:szCs w:val="15"/>
        </w:rPr>
      </w:pPr>
      <w:r>
        <w:t xml:space="preserve">The landlord must serve the notice to the tenant by personal delivery or by first-class mail, postage prepaid, at his or her last known address. </w:t>
      </w:r>
      <w:proofErr w:type="gramStart"/>
      <w:r>
        <w:rPr>
          <w:i/>
        </w:rPr>
        <w:t xml:space="preserve">Id. </w:t>
      </w:r>
      <w:r>
        <w:t>at (3).</w:t>
      </w:r>
      <w:proofErr w:type="gramEnd"/>
      <w:r>
        <w:t xml:space="preserve">  If there is reason to believe that the notice sent to that address will not be received by that person, the landlord must also deliver or send to such other address, if any, known to the landlord where such person may reasonably be expected to receive the notice. </w:t>
      </w:r>
      <w:r>
        <w:rPr>
          <w:i/>
        </w:rPr>
        <w:t xml:space="preserve">Id. </w:t>
      </w:r>
      <w:r>
        <w:t xml:space="preserve"> S</w:t>
      </w:r>
      <w:r w:rsidRPr="006E7F15">
        <w:rPr>
          <w:bCs/>
        </w:rPr>
        <w:t>ection 715.105 of the Act contains a form</w:t>
      </w:r>
      <w:r>
        <w:rPr>
          <w:bCs/>
        </w:rPr>
        <w:t xml:space="preserve"> of notice that the landlord can use</w:t>
      </w:r>
      <w:r>
        <w:t xml:space="preserve">. </w:t>
      </w:r>
    </w:p>
    <w:p w:rsidR="003F75DD" w:rsidRPr="000831C9" w:rsidRDefault="003F75DD" w:rsidP="003F75DD">
      <w:pPr>
        <w:ind w:right="720"/>
        <w:jc w:val="both"/>
        <w:rPr>
          <w:sz w:val="15"/>
          <w:szCs w:val="15"/>
        </w:rPr>
      </w:pPr>
    </w:p>
    <w:p w:rsidR="003F75DD" w:rsidRPr="00C94CEF" w:rsidRDefault="003F75DD" w:rsidP="003F75DD">
      <w:pPr>
        <w:pStyle w:val="ListParagraph"/>
        <w:numPr>
          <w:ilvl w:val="0"/>
          <w:numId w:val="3"/>
        </w:numPr>
        <w:spacing w:line="360" w:lineRule="auto"/>
        <w:ind w:left="1440" w:right="10" w:hanging="720"/>
        <w:jc w:val="both"/>
        <w:rPr>
          <w:rFonts w:ascii="Trebuchet MS" w:hAnsi="Trebuchet MS"/>
          <w:color w:val="000080"/>
          <w:sz w:val="15"/>
          <w:szCs w:val="15"/>
          <w:u w:val="single"/>
        </w:rPr>
      </w:pPr>
      <w:r w:rsidRPr="00C94CEF">
        <w:rPr>
          <w:b/>
          <w:bCs/>
        </w:rPr>
        <w:t>Storage of personal property</w:t>
      </w:r>
    </w:p>
    <w:p w:rsidR="003F75DD" w:rsidRDefault="003F75DD" w:rsidP="003F75DD">
      <w:pPr>
        <w:spacing w:line="360" w:lineRule="auto"/>
        <w:ind w:right="10" w:firstLine="720"/>
        <w:jc w:val="both"/>
      </w:pPr>
      <w:r w:rsidRPr="00C94CEF">
        <w:rPr>
          <w:bCs/>
        </w:rPr>
        <w:t xml:space="preserve">The landlord may have a replacement or new tenant ready, willing and able to move into the </w:t>
      </w:r>
      <w:r>
        <w:rPr>
          <w:bCs/>
        </w:rPr>
        <w:t>premises</w:t>
      </w:r>
      <w:r w:rsidRPr="00C94CEF">
        <w:rPr>
          <w:bCs/>
        </w:rPr>
        <w:t xml:space="preserve"> that contain the former tenant’s personal property.  In that case, the landlord will need to move the personal property and store it during the notice period. Pursuant to § 715.107</w:t>
      </w:r>
      <w:r w:rsidRPr="00C94CEF">
        <w:rPr>
          <w:b/>
          <w:bCs/>
        </w:rPr>
        <w:t>,</w:t>
      </w:r>
      <w:r w:rsidRPr="00C94CEF">
        <w:rPr>
          <w:bCs/>
        </w:rPr>
        <w:t xml:space="preserve"> </w:t>
      </w:r>
      <w:r w:rsidRPr="00871C4A">
        <w:rPr>
          <w:bCs/>
          <w:i/>
        </w:rPr>
        <w:t>Fla. Stat.</w:t>
      </w:r>
      <w:r w:rsidRPr="00C94CEF">
        <w:rPr>
          <w:bCs/>
        </w:rPr>
        <w:t xml:space="preserve">, if the personal property cannot be left in the vacated premises, the landlord </w:t>
      </w:r>
      <w:r>
        <w:t xml:space="preserve">must store it in a place of safekeeping until the landlord either releases the property pursuant to § </w:t>
      </w:r>
      <w:r w:rsidRPr="0018353A">
        <w:t>715.108</w:t>
      </w:r>
      <w:r>
        <w:t xml:space="preserve">, </w:t>
      </w:r>
      <w:r w:rsidRPr="00871C4A">
        <w:rPr>
          <w:i/>
        </w:rPr>
        <w:t>Fla. Stat</w:t>
      </w:r>
      <w:r>
        <w:t xml:space="preserve">. or disposes of the property pursuant to § </w:t>
      </w:r>
      <w:r w:rsidRPr="0018353A">
        <w:t>715.10</w:t>
      </w:r>
      <w:r>
        <w:t xml:space="preserve">, </w:t>
      </w:r>
      <w:r w:rsidRPr="00871C4A">
        <w:rPr>
          <w:i/>
        </w:rPr>
        <w:t>Fla. Stat.</w:t>
      </w:r>
      <w:r>
        <w:t xml:space="preserve">  In doing so, the landlord must exercise reasonable care, but she or he is not liable to the tenant or any other owner for any loss unless caused by the landlord's deliberate or negligent act. </w:t>
      </w:r>
      <w:r w:rsidRPr="00C94CEF">
        <w:rPr>
          <w:i/>
        </w:rPr>
        <w:t>Id</w:t>
      </w:r>
      <w:r>
        <w:t>.  Section 715.111 provides the manner in which the landlord can assess the costs of storage.</w:t>
      </w:r>
    </w:p>
    <w:p w:rsidR="003F75DD" w:rsidRPr="00C94CEF" w:rsidRDefault="003F75DD" w:rsidP="003F75DD">
      <w:pPr>
        <w:pStyle w:val="ListParagraph"/>
        <w:numPr>
          <w:ilvl w:val="0"/>
          <w:numId w:val="3"/>
        </w:numPr>
        <w:spacing w:line="360" w:lineRule="auto"/>
        <w:ind w:left="1440" w:right="10" w:hanging="720"/>
        <w:jc w:val="both"/>
        <w:rPr>
          <w:rFonts w:ascii="Trebuchet MS" w:hAnsi="Trebuchet MS"/>
          <w:b/>
          <w:color w:val="000080"/>
          <w:sz w:val="15"/>
          <w:szCs w:val="15"/>
        </w:rPr>
      </w:pPr>
      <w:r w:rsidRPr="00C94CEF">
        <w:rPr>
          <w:b/>
        </w:rPr>
        <w:t>Release of personal property</w:t>
      </w:r>
    </w:p>
    <w:p w:rsidR="003F75DD" w:rsidRPr="00C94CEF" w:rsidRDefault="003F75DD" w:rsidP="003F75DD">
      <w:pPr>
        <w:spacing w:line="360" w:lineRule="auto"/>
        <w:ind w:right="10" w:firstLine="720"/>
        <w:jc w:val="both"/>
      </w:pPr>
      <w:r>
        <w:t xml:space="preserve">At any time not later than the date specified in the notice for taking possession, the landlord must release the personal property described in the notice to the former tenant or, at the landlord's option, to any person the landlord reasonably believes to be its owner, provided that the tenant or other person pays the reasonable costs of storage and advertising and takes possession of the property.  </w:t>
      </w:r>
      <w:r w:rsidRPr="00C94CEF">
        <w:rPr>
          <w:bCs/>
        </w:rPr>
        <w:t xml:space="preserve">§ 715.108(1), </w:t>
      </w:r>
      <w:r w:rsidRPr="00871C4A">
        <w:rPr>
          <w:bCs/>
          <w:i/>
        </w:rPr>
        <w:t>Fla. Stat</w:t>
      </w:r>
      <w:r w:rsidRPr="00C94CEF">
        <w:rPr>
          <w:bCs/>
        </w:rPr>
        <w:t xml:space="preserve">. </w:t>
      </w:r>
      <w:r>
        <w:t xml:space="preserve">Where personal property is not released pursuant to subsection (1) and the notice stated that the personal property will be sold at a public sale, the tenant may claim it prior to the time it is sold so long as he or she pays the reasonable </w:t>
      </w:r>
      <w:r>
        <w:lastRenderedPageBreak/>
        <w:t xml:space="preserve">costs of storage, advertising, and sale incurred prior to the time the property is withdrawn from sale.  </w:t>
      </w:r>
      <w:proofErr w:type="gramStart"/>
      <w:r w:rsidRPr="00C94CEF">
        <w:rPr>
          <w:i/>
        </w:rPr>
        <w:t xml:space="preserve">Id. </w:t>
      </w:r>
      <w:r>
        <w:t>at (2).</w:t>
      </w:r>
      <w:proofErr w:type="gramEnd"/>
      <w:r>
        <w:t xml:space="preserve"> The manner in which the landlord may sell or dispose of the personal property is contained in § 715.109, </w:t>
      </w:r>
      <w:r w:rsidRPr="00C94CEF">
        <w:rPr>
          <w:i/>
        </w:rPr>
        <w:t>Florida Statutes.</w:t>
      </w:r>
    </w:p>
    <w:p w:rsidR="003F75DD" w:rsidRPr="00C94CEF" w:rsidRDefault="003F75DD" w:rsidP="003F75DD">
      <w:pPr>
        <w:pStyle w:val="ListParagraph"/>
        <w:numPr>
          <w:ilvl w:val="0"/>
          <w:numId w:val="3"/>
        </w:numPr>
        <w:spacing w:line="360" w:lineRule="auto"/>
        <w:ind w:left="1440" w:right="10" w:hanging="720"/>
        <w:jc w:val="both"/>
        <w:rPr>
          <w:rFonts w:ascii="Trebuchet MS" w:hAnsi="Trebuchet MS"/>
          <w:b/>
          <w:color w:val="000080"/>
          <w:sz w:val="15"/>
          <w:szCs w:val="15"/>
        </w:rPr>
      </w:pPr>
      <w:r w:rsidRPr="00C94CEF">
        <w:rPr>
          <w:b/>
        </w:rPr>
        <w:t>Non-liability of landlord</w:t>
      </w:r>
    </w:p>
    <w:p w:rsidR="003F75DD" w:rsidRDefault="003F75DD" w:rsidP="003F75DD">
      <w:pPr>
        <w:spacing w:line="360" w:lineRule="auto"/>
        <w:ind w:right="10" w:firstLine="720"/>
        <w:jc w:val="both"/>
      </w:pPr>
      <w:r>
        <w:t xml:space="preserve">Section 715.11, </w:t>
      </w:r>
      <w:r w:rsidRPr="00871C4A">
        <w:rPr>
          <w:i/>
        </w:rPr>
        <w:t>Fla. Stat</w:t>
      </w:r>
      <w:r>
        <w:t xml:space="preserve">. provides for the non-liability of the landlord after it disposes of the personal property in accordance with the Act.  After the landlord releases to the former tenant property remaining on the premises after a tenancy is terminated, the landlord is not liable with respect to that property to any person.  </w:t>
      </w:r>
      <w:r>
        <w:rPr>
          <w:i/>
        </w:rPr>
        <w:t xml:space="preserve">Id.  </w:t>
      </w:r>
      <w:r>
        <w:t xml:space="preserve">In addition, after the landlord releases property pursuant to § 715.108, </w:t>
      </w:r>
      <w:r w:rsidRPr="00871C4A">
        <w:rPr>
          <w:i/>
        </w:rPr>
        <w:t>Fla. Stat</w:t>
      </w:r>
      <w:r>
        <w:t xml:space="preserve">., to a person who is not the former tenant and who is reasonably believed by the landlord to be the owner of the property, the landlord is not liable with respect to that property to: </w:t>
      </w:r>
    </w:p>
    <w:p w:rsidR="003F75DD" w:rsidRDefault="003F75DD" w:rsidP="003F75DD">
      <w:pPr>
        <w:pStyle w:val="ListParagraph"/>
        <w:numPr>
          <w:ilvl w:val="0"/>
          <w:numId w:val="2"/>
        </w:numPr>
        <w:ind w:right="720"/>
        <w:jc w:val="both"/>
      </w:pPr>
      <w:r>
        <w:t>Any person to whom notice was given pursuant to s. 715.104, Fla. Stat.</w:t>
      </w:r>
      <w:r w:rsidRPr="004413C0">
        <w:t>;</w:t>
      </w:r>
    </w:p>
    <w:p w:rsidR="003F75DD" w:rsidRPr="004413C0" w:rsidRDefault="003F75DD" w:rsidP="003F75DD">
      <w:pPr>
        <w:ind w:left="1496" w:right="720"/>
        <w:jc w:val="both"/>
      </w:pPr>
      <w:r w:rsidRPr="004413C0">
        <w:t xml:space="preserve"> </w:t>
      </w:r>
      <w:proofErr w:type="gramStart"/>
      <w:r w:rsidRPr="004413C0">
        <w:t>or</w:t>
      </w:r>
      <w:proofErr w:type="gramEnd"/>
      <w:r w:rsidRPr="004413C0">
        <w:t xml:space="preserve"> </w:t>
      </w:r>
    </w:p>
    <w:p w:rsidR="003F75DD" w:rsidRPr="004413C0" w:rsidRDefault="003F75DD" w:rsidP="003F75DD">
      <w:pPr>
        <w:ind w:left="1496" w:right="720"/>
        <w:jc w:val="both"/>
      </w:pPr>
    </w:p>
    <w:p w:rsidR="003F75DD" w:rsidRDefault="003F75DD" w:rsidP="003F75DD">
      <w:pPr>
        <w:numPr>
          <w:ilvl w:val="0"/>
          <w:numId w:val="1"/>
        </w:numPr>
        <w:tabs>
          <w:tab w:val="clear" w:pos="1904"/>
        </w:tabs>
        <w:ind w:left="1496" w:right="720" w:hanging="34"/>
        <w:jc w:val="both"/>
      </w:pPr>
      <w:r w:rsidRPr="004413C0">
        <w:t xml:space="preserve">Any person to whom notice was not given pursuant to s. </w:t>
      </w:r>
      <w:r>
        <w:t>715.104</w:t>
      </w:r>
      <w:r w:rsidRPr="004413C0">
        <w:t xml:space="preserve"> unless such person proves that, prior to releasing the property,</w:t>
      </w:r>
      <w:r w:rsidRPr="00041EAD">
        <w:t xml:space="preserve"> the landlord believed or reasonably should have believed that such person had an interest in the property and also that the landlord knew or should have known upon reasonable investigation the address of such person. </w:t>
      </w:r>
    </w:p>
    <w:p w:rsidR="003F75DD" w:rsidRDefault="003F75DD" w:rsidP="003F75DD">
      <w:pPr>
        <w:ind w:left="1496" w:right="720"/>
        <w:jc w:val="both"/>
      </w:pPr>
    </w:p>
    <w:p w:rsidR="003F75DD" w:rsidRPr="005D0C2B" w:rsidRDefault="003F75DD" w:rsidP="003F75DD">
      <w:pPr>
        <w:ind w:left="1496" w:right="720"/>
        <w:jc w:val="both"/>
      </w:pPr>
      <w:proofErr w:type="gramStart"/>
      <w:r w:rsidRPr="005D0C2B">
        <w:rPr>
          <w:i/>
        </w:rPr>
        <w:t>Id.</w:t>
      </w:r>
      <w:r w:rsidRPr="005D0C2B">
        <w:t xml:space="preserve"> at (2).</w:t>
      </w:r>
      <w:proofErr w:type="gramEnd"/>
    </w:p>
    <w:p w:rsidR="003F75DD" w:rsidRPr="00041EAD" w:rsidRDefault="003F75DD" w:rsidP="003F75DD">
      <w:pPr>
        <w:spacing w:line="360" w:lineRule="auto"/>
        <w:ind w:left="720" w:right="720"/>
        <w:jc w:val="both"/>
      </w:pPr>
    </w:p>
    <w:p w:rsidR="002F23EF" w:rsidRDefault="003F75DD" w:rsidP="003F75DD">
      <w:r w:rsidRPr="00041EAD">
        <w:t xml:space="preserve">Where property is disposed </w:t>
      </w:r>
      <w:r>
        <w:t xml:space="preserve">by sale </w:t>
      </w:r>
      <w:r w:rsidRPr="00041EAD">
        <w:t xml:space="preserve">pursuant to </w:t>
      </w:r>
      <w:r>
        <w:t xml:space="preserve">§ 715.109, </w:t>
      </w:r>
      <w:r w:rsidRPr="00871C4A">
        <w:rPr>
          <w:i/>
        </w:rPr>
        <w:t>Fla. Stat.</w:t>
      </w:r>
      <w:r>
        <w:t xml:space="preserve">, </w:t>
      </w:r>
      <w:r w:rsidRPr="00041EAD">
        <w:t>the landlord is not liable to</w:t>
      </w:r>
      <w:r>
        <w:t xml:space="preserve"> any person that was given notice pursuant to the Act or to any person who was not given notice </w:t>
      </w:r>
      <w:r>
        <w:rPr>
          <w:u w:val="single"/>
        </w:rPr>
        <w:t>unless</w:t>
      </w:r>
      <w:r w:rsidRPr="00B64721">
        <w:t xml:space="preserve"> the person can prove</w:t>
      </w:r>
      <w:r>
        <w:t xml:space="preserve"> that, prior to disposing of the property, the landlord believed or should have reasonably believed </w:t>
      </w:r>
      <w:r w:rsidRPr="00041EAD">
        <w:t xml:space="preserve">that such person had an interest in the property and also that the landlord knew or should have known upon reasonable investigation the address of such person. </w:t>
      </w:r>
      <w:proofErr w:type="gramStart"/>
      <w:r>
        <w:rPr>
          <w:i/>
        </w:rPr>
        <w:t xml:space="preserve">Id. </w:t>
      </w:r>
      <w:r>
        <w:t>at (3).</w:t>
      </w:r>
      <w:proofErr w:type="gramEnd"/>
    </w:p>
    <w:sectPr w:rsidR="002F23EF" w:rsidSect="00FB74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D7BC6"/>
    <w:multiLevelType w:val="hybridMultilevel"/>
    <w:tmpl w:val="4A4A4B0A"/>
    <w:lvl w:ilvl="0" w:tplc="75AE05EA">
      <w:start w:val="2"/>
      <w:numFmt w:val="lowerLetter"/>
      <w:lvlText w:val="(%1)"/>
      <w:lvlJc w:val="left"/>
      <w:pPr>
        <w:tabs>
          <w:tab w:val="num" w:pos="1904"/>
        </w:tabs>
        <w:ind w:left="1904" w:hanging="408"/>
      </w:pPr>
      <w:rPr>
        <w:rFonts w:cs="Times New Roman" w:hint="default"/>
      </w:rPr>
    </w:lvl>
    <w:lvl w:ilvl="1" w:tplc="04090019" w:tentative="1">
      <w:start w:val="1"/>
      <w:numFmt w:val="lowerLetter"/>
      <w:lvlText w:val="%2."/>
      <w:lvlJc w:val="left"/>
      <w:pPr>
        <w:tabs>
          <w:tab w:val="num" w:pos="2576"/>
        </w:tabs>
        <w:ind w:left="2576" w:hanging="360"/>
      </w:pPr>
      <w:rPr>
        <w:rFonts w:cs="Times New Roman"/>
      </w:rPr>
    </w:lvl>
    <w:lvl w:ilvl="2" w:tplc="0409001B" w:tentative="1">
      <w:start w:val="1"/>
      <w:numFmt w:val="lowerRoman"/>
      <w:lvlText w:val="%3."/>
      <w:lvlJc w:val="right"/>
      <w:pPr>
        <w:tabs>
          <w:tab w:val="num" w:pos="3296"/>
        </w:tabs>
        <w:ind w:left="3296" w:hanging="180"/>
      </w:pPr>
      <w:rPr>
        <w:rFonts w:cs="Times New Roman"/>
      </w:rPr>
    </w:lvl>
    <w:lvl w:ilvl="3" w:tplc="0409000F" w:tentative="1">
      <w:start w:val="1"/>
      <w:numFmt w:val="decimal"/>
      <w:lvlText w:val="%4."/>
      <w:lvlJc w:val="left"/>
      <w:pPr>
        <w:tabs>
          <w:tab w:val="num" w:pos="4016"/>
        </w:tabs>
        <w:ind w:left="4016" w:hanging="360"/>
      </w:pPr>
      <w:rPr>
        <w:rFonts w:cs="Times New Roman"/>
      </w:rPr>
    </w:lvl>
    <w:lvl w:ilvl="4" w:tplc="04090019" w:tentative="1">
      <w:start w:val="1"/>
      <w:numFmt w:val="lowerLetter"/>
      <w:lvlText w:val="%5."/>
      <w:lvlJc w:val="left"/>
      <w:pPr>
        <w:tabs>
          <w:tab w:val="num" w:pos="4736"/>
        </w:tabs>
        <w:ind w:left="4736" w:hanging="360"/>
      </w:pPr>
      <w:rPr>
        <w:rFonts w:cs="Times New Roman"/>
      </w:rPr>
    </w:lvl>
    <w:lvl w:ilvl="5" w:tplc="0409001B" w:tentative="1">
      <w:start w:val="1"/>
      <w:numFmt w:val="lowerRoman"/>
      <w:lvlText w:val="%6."/>
      <w:lvlJc w:val="right"/>
      <w:pPr>
        <w:tabs>
          <w:tab w:val="num" w:pos="5456"/>
        </w:tabs>
        <w:ind w:left="5456" w:hanging="180"/>
      </w:pPr>
      <w:rPr>
        <w:rFonts w:cs="Times New Roman"/>
      </w:rPr>
    </w:lvl>
    <w:lvl w:ilvl="6" w:tplc="0409000F" w:tentative="1">
      <w:start w:val="1"/>
      <w:numFmt w:val="decimal"/>
      <w:lvlText w:val="%7."/>
      <w:lvlJc w:val="left"/>
      <w:pPr>
        <w:tabs>
          <w:tab w:val="num" w:pos="6176"/>
        </w:tabs>
        <w:ind w:left="6176" w:hanging="360"/>
      </w:pPr>
      <w:rPr>
        <w:rFonts w:cs="Times New Roman"/>
      </w:rPr>
    </w:lvl>
    <w:lvl w:ilvl="7" w:tplc="04090019" w:tentative="1">
      <w:start w:val="1"/>
      <w:numFmt w:val="lowerLetter"/>
      <w:lvlText w:val="%8."/>
      <w:lvlJc w:val="left"/>
      <w:pPr>
        <w:tabs>
          <w:tab w:val="num" w:pos="6896"/>
        </w:tabs>
        <w:ind w:left="6896" w:hanging="360"/>
      </w:pPr>
      <w:rPr>
        <w:rFonts w:cs="Times New Roman"/>
      </w:rPr>
    </w:lvl>
    <w:lvl w:ilvl="8" w:tplc="0409001B" w:tentative="1">
      <w:start w:val="1"/>
      <w:numFmt w:val="lowerRoman"/>
      <w:lvlText w:val="%9."/>
      <w:lvlJc w:val="right"/>
      <w:pPr>
        <w:tabs>
          <w:tab w:val="num" w:pos="7616"/>
        </w:tabs>
        <w:ind w:left="7616" w:hanging="180"/>
      </w:pPr>
      <w:rPr>
        <w:rFonts w:cs="Times New Roman"/>
      </w:rPr>
    </w:lvl>
  </w:abstractNum>
  <w:abstractNum w:abstractNumId="1">
    <w:nsid w:val="256C64A0"/>
    <w:multiLevelType w:val="hybridMultilevel"/>
    <w:tmpl w:val="66A2E60C"/>
    <w:lvl w:ilvl="0" w:tplc="E98A03B4">
      <w:start w:val="1"/>
      <w:numFmt w:val="lowerLetter"/>
      <w:lvlText w:val="(%1)"/>
      <w:lvlJc w:val="left"/>
      <w:pPr>
        <w:ind w:left="1871" w:hanging="375"/>
      </w:pPr>
      <w:rPr>
        <w:rFonts w:hint="default"/>
      </w:rPr>
    </w:lvl>
    <w:lvl w:ilvl="1" w:tplc="04090019" w:tentative="1">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abstractNum w:abstractNumId="2">
    <w:nsid w:val="4AEE5081"/>
    <w:multiLevelType w:val="hybridMultilevel"/>
    <w:tmpl w:val="E5801BF8"/>
    <w:lvl w:ilvl="0" w:tplc="3F028B5C">
      <w:start w:val="1"/>
      <w:numFmt w:val="decimal"/>
      <w:lvlText w:val="%1."/>
      <w:lvlJc w:val="left"/>
      <w:pPr>
        <w:ind w:left="1080" w:hanging="360"/>
      </w:pPr>
      <w:rPr>
        <w:rFonts w:ascii="Times New Roman" w:hAnsi="Times New Roman" w:cs="Times New Roman" w:hint="default"/>
        <w:b/>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F75DD"/>
    <w:rsid w:val="00013445"/>
    <w:rsid w:val="003F75DD"/>
    <w:rsid w:val="00445E84"/>
    <w:rsid w:val="005B53A7"/>
    <w:rsid w:val="00652369"/>
    <w:rsid w:val="007B0F8D"/>
    <w:rsid w:val="008909F3"/>
    <w:rsid w:val="00C0303F"/>
    <w:rsid w:val="00CB5B68"/>
    <w:rsid w:val="00E6656A"/>
    <w:rsid w:val="00F96E0B"/>
    <w:rsid w:val="00FB74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5DD"/>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F75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1045</Words>
  <Characters>5960</Characters>
  <Application>Microsoft Office Word</Application>
  <DocSecurity>0</DocSecurity>
  <Lines>49</Lines>
  <Paragraphs>13</Paragraphs>
  <ScaleCrop>false</ScaleCrop>
  <Company>Toshiba</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horkya</dc:creator>
  <cp:lastModifiedBy>horkya</cp:lastModifiedBy>
  <cp:revision>1</cp:revision>
  <dcterms:created xsi:type="dcterms:W3CDTF">2011-08-04T21:38:00Z</dcterms:created>
  <dcterms:modified xsi:type="dcterms:W3CDTF">2011-08-04T21:39:00Z</dcterms:modified>
</cp:coreProperties>
</file>