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75" w:rsidRDefault="00F75875" w:rsidP="00F75875">
      <w:pPr>
        <w:tabs>
          <w:tab w:val="left" w:pos="-1440"/>
        </w:tabs>
        <w:ind w:left="720" w:hanging="720"/>
        <w:jc w:val="center"/>
        <w:rPr>
          <w:b/>
          <w:bCs/>
        </w:rPr>
      </w:pPr>
      <w:r>
        <w:rPr>
          <w:b/>
          <w:bCs/>
        </w:rPr>
        <w:t>REAL PROPERTY, PROBATE &amp; TRUST LAW SECTION</w:t>
      </w:r>
    </w:p>
    <w:p w:rsidR="00F75875" w:rsidRDefault="00F75875" w:rsidP="00F75875">
      <w:pPr>
        <w:tabs>
          <w:tab w:val="left" w:pos="-1440"/>
        </w:tabs>
        <w:ind w:left="720" w:hanging="720"/>
        <w:jc w:val="center"/>
        <w:rPr>
          <w:b/>
          <w:bCs/>
        </w:rPr>
      </w:pPr>
      <w:r>
        <w:rPr>
          <w:b/>
          <w:bCs/>
        </w:rPr>
        <w:t>WHITE PAPER</w:t>
      </w:r>
    </w:p>
    <w:p w:rsidR="00F75875" w:rsidRDefault="00F75875" w:rsidP="00F75875">
      <w:pPr>
        <w:tabs>
          <w:tab w:val="left" w:pos="-1440"/>
        </w:tabs>
        <w:ind w:left="720" w:hanging="720"/>
        <w:jc w:val="center"/>
        <w:rPr>
          <w:b/>
          <w:bCs/>
        </w:rPr>
      </w:pPr>
    </w:p>
    <w:p w:rsidR="00F75875" w:rsidRPr="00233DBD" w:rsidRDefault="00F75875" w:rsidP="00F75875">
      <w:pPr>
        <w:tabs>
          <w:tab w:val="left" w:pos="-1440"/>
        </w:tabs>
        <w:ind w:left="720" w:hanging="720"/>
        <w:jc w:val="center"/>
        <w:rPr>
          <w:b/>
          <w:bCs/>
          <w:u w:val="single"/>
        </w:rPr>
      </w:pPr>
      <w:r w:rsidRPr="00233DBD">
        <w:rPr>
          <w:b/>
          <w:bCs/>
          <w:u w:val="single"/>
        </w:rPr>
        <w:t>CONSTRUCTION LIENS FOR LEASED PROPERTY</w:t>
      </w:r>
    </w:p>
    <w:p w:rsidR="00F75875" w:rsidRDefault="00F75875" w:rsidP="00F75875">
      <w:pPr>
        <w:tabs>
          <w:tab w:val="left" w:pos="-1440"/>
        </w:tabs>
        <w:ind w:left="720" w:hanging="720"/>
        <w:rPr>
          <w:b/>
          <w:bCs/>
        </w:rPr>
      </w:pPr>
    </w:p>
    <w:p w:rsidR="00F75875" w:rsidRDefault="00F75875" w:rsidP="00F75875">
      <w:pPr>
        <w:tabs>
          <w:tab w:val="left" w:pos="-1440"/>
        </w:tabs>
        <w:ind w:left="720" w:hanging="720"/>
        <w:rPr>
          <w:b/>
          <w:bCs/>
        </w:rPr>
      </w:pPr>
      <w:r>
        <w:rPr>
          <w:b/>
          <w:bCs/>
        </w:rPr>
        <w:t>I.</w:t>
      </w:r>
      <w:r>
        <w:rPr>
          <w:b/>
          <w:bCs/>
        </w:rPr>
        <w:tab/>
        <w:t>SUMMARY</w:t>
      </w:r>
    </w:p>
    <w:p w:rsidR="00F75875" w:rsidRDefault="00F75875" w:rsidP="00F75875">
      <w:pPr>
        <w:tabs>
          <w:tab w:val="left" w:pos="-1440"/>
        </w:tabs>
        <w:ind w:left="720" w:hanging="720"/>
        <w:rPr>
          <w:b/>
          <w:bCs/>
        </w:rPr>
      </w:pPr>
    </w:p>
    <w:p w:rsidR="00F75875" w:rsidRPr="00233DBD" w:rsidRDefault="00F75875" w:rsidP="00F75875">
      <w:pPr>
        <w:tabs>
          <w:tab w:val="left" w:pos="-1440"/>
        </w:tabs>
        <w:ind w:hanging="720"/>
        <w:jc w:val="both"/>
        <w:rPr>
          <w:bCs/>
        </w:rPr>
      </w:pPr>
      <w:r>
        <w:rPr>
          <w:b/>
          <w:bCs/>
        </w:rPr>
        <w:tab/>
      </w:r>
      <w:r>
        <w:rPr>
          <w:b/>
          <w:bCs/>
        </w:rPr>
        <w:tab/>
      </w:r>
      <w:r>
        <w:rPr>
          <w:bCs/>
        </w:rPr>
        <w:t xml:space="preserve">This legislation </w:t>
      </w:r>
      <w:r w:rsidR="00117707">
        <w:rPr>
          <w:bCs/>
        </w:rPr>
        <w:t>addresses</w:t>
      </w:r>
      <w:r w:rsidR="00E31627">
        <w:rPr>
          <w:bCs/>
        </w:rPr>
        <w:t xml:space="preserve"> the holding in </w:t>
      </w:r>
      <w:r w:rsidR="00E31627">
        <w:rPr>
          <w:bCs/>
          <w:i/>
        </w:rPr>
        <w:t>Everglades Electric Supply, Inc. v. Paraiso Granite, LLC</w:t>
      </w:r>
      <w:r w:rsidR="00E31627">
        <w:rPr>
          <w:bCs/>
        </w:rPr>
        <w:t>, 28 So.3d 235 (Fla. 4</w:t>
      </w:r>
      <w:r w:rsidR="00E31627">
        <w:rPr>
          <w:bCs/>
          <w:vertAlign w:val="superscript"/>
        </w:rPr>
        <w:t>th</w:t>
      </w:r>
      <w:r w:rsidR="00E31627">
        <w:rPr>
          <w:bCs/>
        </w:rPr>
        <w:t xml:space="preserve"> DCA 2010)</w:t>
      </w:r>
      <w:r w:rsidR="00BB45D1">
        <w:t xml:space="preserve"> </w:t>
      </w:r>
      <w:r w:rsidR="00117707">
        <w:t>that a landlord’s blanket notice recorded under Section 713.10</w:t>
      </w:r>
      <w:r w:rsidR="00BB45D1">
        <w:t>(2)</w:t>
      </w:r>
      <w:r w:rsidR="00117707">
        <w:t>, Florida Statutes was ineffective to protect the landlord against liens for work performed by a tenant where not all of the leases for the property contained the same lien prohibition language as that in the blanket notice by deleting the requirement that the blanket notice must</w:t>
      </w:r>
      <w:r w:rsidR="004E7628">
        <w:t xml:space="preserve"> include “the specific language contained in the various leases prohibiting such liability.”</w:t>
      </w:r>
      <w:r>
        <w:t xml:space="preserve"> </w:t>
      </w:r>
      <w:r w:rsidR="00117707">
        <w:t xml:space="preserve"> </w:t>
      </w:r>
    </w:p>
    <w:p w:rsidR="00F75875" w:rsidRDefault="00F75875" w:rsidP="00F75875">
      <w:pPr>
        <w:tabs>
          <w:tab w:val="left" w:pos="-1440"/>
        </w:tabs>
        <w:ind w:left="720" w:hanging="720"/>
        <w:jc w:val="both"/>
      </w:pPr>
      <w:r>
        <w:rPr>
          <w:bCs/>
        </w:rPr>
        <w:tab/>
      </w:r>
    </w:p>
    <w:p w:rsidR="00F75875" w:rsidRDefault="00F75875" w:rsidP="00F75875">
      <w:pPr>
        <w:tabs>
          <w:tab w:val="left" w:pos="-1440"/>
        </w:tabs>
        <w:ind w:left="720" w:hanging="720"/>
        <w:jc w:val="both"/>
      </w:pPr>
      <w:r>
        <w:rPr>
          <w:b/>
          <w:bCs/>
        </w:rPr>
        <w:t>II.</w:t>
      </w:r>
      <w:r>
        <w:rPr>
          <w:b/>
          <w:bCs/>
        </w:rPr>
        <w:tab/>
        <w:t>CURRENT SITUATION</w:t>
      </w:r>
    </w:p>
    <w:p w:rsidR="00F75875" w:rsidRDefault="00F75875" w:rsidP="00F75875">
      <w:pPr>
        <w:jc w:val="both"/>
      </w:pPr>
    </w:p>
    <w:p w:rsidR="00F75875" w:rsidRDefault="00F75875" w:rsidP="00F75875">
      <w:pPr>
        <w:ind w:firstLine="720"/>
        <w:jc w:val="both"/>
      </w:pPr>
      <w:r>
        <w:t>Section 713.10</w:t>
      </w:r>
      <w:r w:rsidR="00C578F2">
        <w:t>, Florida Statutes</w:t>
      </w:r>
      <w:r>
        <w:t xml:space="preserve"> provides that a lien “shall extend to, and only to, the right, title, and interest of the person who contracts for the improvements as such right, title, and interest exists at the commencement of the improvement...”  If, however, “an improvement is made by a lessee in accordance with an agreement between such lessee and her or his lessor, the lien shall extend also to the interest of such lessor.”</w:t>
      </w:r>
    </w:p>
    <w:p w:rsidR="00F75875" w:rsidRDefault="00F75875" w:rsidP="00F75875">
      <w:pPr>
        <w:ind w:firstLine="720"/>
        <w:jc w:val="both"/>
      </w:pPr>
    </w:p>
    <w:p w:rsidR="00F75875" w:rsidRDefault="00F75875" w:rsidP="00F75875">
      <w:pPr>
        <w:ind w:firstLine="720"/>
        <w:jc w:val="both"/>
      </w:pPr>
      <w:r>
        <w:t xml:space="preserve">Prior to 1985, Section 713.10 provided that a landlord's interest would not be subject to liens for improvements on its property “when the lease is recorded in the clerk's office and the terms of the lease expressly prohibit such liability.” </w:t>
      </w:r>
      <w:r>
        <w:rPr>
          <w:i/>
          <w:iCs/>
        </w:rPr>
        <w:t>See</w:t>
      </w:r>
      <w:r>
        <w:t xml:space="preserve"> </w:t>
      </w:r>
      <w:hyperlink r:id="rId7" w:history="1">
        <w:r>
          <w:rPr>
            <w:rStyle w:val="Hyperlink"/>
          </w:rPr>
          <w:t>§713. 10, Fla. Stat. (1983)</w:t>
        </w:r>
      </w:hyperlink>
      <w:r>
        <w:t xml:space="preserve">.  In 1985, the statute was amended to provide alternatives to recording the entire lease.  Specifically, the landlord could record either the lease or a short form of the lease or, if all of the leases entered into by the landlord prohibited such liability, the landlord could record a blanket notice setting forth the specific language contained in the various leases prohibiting such liability together with a statement that all of the leases contain such language.  </w:t>
      </w:r>
      <w:r>
        <w:rPr>
          <w:i/>
        </w:rPr>
        <w:t>See</w:t>
      </w:r>
      <w:r>
        <w:t xml:space="preserve"> §713.10(2), </w:t>
      </w:r>
      <w:smartTag w:uri="urn:schemas-microsoft-com:office:smarttags" w:element="State">
        <w:smartTag w:uri="urn:schemas-microsoft-com:office:smarttags" w:element="place">
          <w:r>
            <w:t>Fla.</w:t>
          </w:r>
        </w:smartTag>
      </w:smartTag>
      <w:r>
        <w:t xml:space="preserve"> Stat. (1985).</w:t>
      </w:r>
    </w:p>
    <w:p w:rsidR="00F75875" w:rsidRDefault="00F75875" w:rsidP="00F75875">
      <w:pPr>
        <w:ind w:firstLine="720"/>
        <w:jc w:val="both"/>
      </w:pPr>
    </w:p>
    <w:p w:rsidR="00F75875" w:rsidRDefault="00F75875" w:rsidP="00F75875">
      <w:pPr>
        <w:ind w:firstLine="720"/>
        <w:jc w:val="both"/>
      </w:pPr>
      <w:r>
        <w:t xml:space="preserve">“In amending this statute, the Legislature obviously sought to provide a simplified and less costly manner in which lessors may provide notice to prospective contractors of their disclaimer of liability for improvements made by a lessee.” </w:t>
      </w:r>
      <w:r>
        <w:rPr>
          <w:i/>
        </w:rPr>
        <w:t>14</w:t>
      </w:r>
      <w:r>
        <w:rPr>
          <w:i/>
          <w:vertAlign w:val="superscript"/>
        </w:rPr>
        <w:t>th</w:t>
      </w:r>
      <w:r>
        <w:rPr>
          <w:i/>
        </w:rPr>
        <w:t xml:space="preserve"> &amp; Heinberg, L.L.C. v. Henricksen &amp; Co., Inc.</w:t>
      </w:r>
      <w:r>
        <w:t>, 877 So.2d 34, 38 (</w:t>
      </w:r>
      <w:smartTag w:uri="urn:schemas-microsoft-com:office:smarttags" w:element="place">
        <w:smartTag w:uri="urn:schemas-microsoft-com:office:smarttags" w:element="State">
          <w:r>
            <w:t>Fla.</w:t>
          </w:r>
        </w:smartTag>
      </w:smartTag>
      <w:r>
        <w:t xml:space="preserve"> 1</w:t>
      </w:r>
      <w:r>
        <w:rPr>
          <w:vertAlign w:val="superscript"/>
        </w:rPr>
        <w:t>st</w:t>
      </w:r>
      <w:r>
        <w:t xml:space="preserve"> DCA 2004).</w:t>
      </w:r>
    </w:p>
    <w:p w:rsidR="00F75875" w:rsidRDefault="00F75875" w:rsidP="00F75875">
      <w:pPr>
        <w:ind w:firstLine="720"/>
        <w:jc w:val="both"/>
      </w:pPr>
    </w:p>
    <w:p w:rsidR="00F75875" w:rsidRDefault="00F75875" w:rsidP="00F75875">
      <w:pPr>
        <w:ind w:firstLine="720"/>
        <w:jc w:val="both"/>
      </w:pPr>
      <w:r>
        <w:t xml:space="preserve">Unfortunately, there are practical problems for landlords using the two alternatives provided by the 1985 amendments.  These problems were highlighted in the case of </w:t>
      </w:r>
      <w:r>
        <w:rPr>
          <w:i/>
        </w:rPr>
        <w:t>Everglades Electric Supply, Inc. v. Paraiso Granite, LLC</w:t>
      </w:r>
      <w:r>
        <w:t>, 28 So.3d 235 (Fla. 4</w:t>
      </w:r>
      <w:r>
        <w:rPr>
          <w:vertAlign w:val="superscript"/>
        </w:rPr>
        <w:t>th</w:t>
      </w:r>
      <w:r>
        <w:t xml:space="preserve"> DCA, </w:t>
      </w:r>
      <w:r w:rsidR="00B85B33">
        <w:t xml:space="preserve">March 3, </w:t>
      </w:r>
      <w:r>
        <w:t>2010)  .</w:t>
      </w:r>
    </w:p>
    <w:p w:rsidR="00F75875" w:rsidRDefault="00F75875" w:rsidP="00F75875">
      <w:pPr>
        <w:ind w:firstLine="720"/>
        <w:jc w:val="both"/>
      </w:pPr>
    </w:p>
    <w:p w:rsidR="00F75875" w:rsidRDefault="00F75875" w:rsidP="00F75875">
      <w:pPr>
        <w:ind w:firstLine="720"/>
        <w:jc w:val="both"/>
      </w:pPr>
      <w:r>
        <w:t>The first alternative – recording the lease or a short form of it -- poses title problems for landlords.  The lease or short form</w:t>
      </w:r>
      <w:r>
        <w:rPr>
          <w:rStyle w:val="FootnoteReference"/>
        </w:rPr>
        <w:footnoteReference w:id="1"/>
      </w:r>
      <w:r>
        <w:t xml:space="preserve"> remains of record forever unless terminated while leases </w:t>
      </w:r>
      <w:r>
        <w:lastRenderedPageBreak/>
        <w:t xml:space="preserve">expire or are terminated with regularity and the termination is generally not a matter of record.  The title search obtained in connection with a sale or mortgage by a landlord will reflect all recorded leases or memoranda of leases even as to leases that have expired or have been terminated.  The buyer or mortgagee is then on notice of any interest in the property claimed by the tenant which would include not only the tenant’s leasehold interest but also other possible rights such as to lease additional space or to purchase the property.  In order to </w:t>
      </w:r>
      <w:r w:rsidR="00C578F2">
        <w:t>convey</w:t>
      </w:r>
      <w:r>
        <w:t xml:space="preserve"> clear title, the landlord will need to eliminate of record all recorded leases or memoranda of them which are no longer in effect.  This process can be time consuming and expensive.  For this reason, it is not common, except in the case of major leases, for leases or notices of them to be recorded in </w:t>
      </w:r>
      <w:smartTag w:uri="urn:schemas-microsoft-com:office:smarttags" w:element="State">
        <w:smartTag w:uri="urn:schemas-microsoft-com:office:smarttags" w:element="place">
          <w:r>
            <w:t>Florida</w:t>
          </w:r>
        </w:smartTag>
      </w:smartTag>
      <w:r>
        <w:t>.</w:t>
      </w:r>
    </w:p>
    <w:p w:rsidR="00F75875" w:rsidRDefault="00F75875" w:rsidP="00F75875">
      <w:pPr>
        <w:ind w:firstLine="720"/>
        <w:jc w:val="both"/>
      </w:pPr>
    </w:p>
    <w:p w:rsidR="00F75875" w:rsidRDefault="00F75875" w:rsidP="00F75875">
      <w:pPr>
        <w:ind w:firstLine="720"/>
        <w:jc w:val="both"/>
      </w:pPr>
      <w:r>
        <w:t xml:space="preserve">The second alternative – recording a blanket notice setting forth the specific language contained in the various leases prohibiting such liability together with a statement that all of the leases contain such language – poses a different practical problem for landlords.  Often when a landlord purchases a property he inherits leases that do not contain lien prohibition language which, under the holding in the </w:t>
      </w:r>
      <w:r>
        <w:rPr>
          <w:i/>
        </w:rPr>
        <w:t>Everglades Electric</w:t>
      </w:r>
      <w:r>
        <w:t xml:space="preserve"> case, would mean the landlord could not record an effective blanket notice.  Additionally, the lien prohibition language contained in the leases may vary or be changed in some of the leases.  Under the holding in the </w:t>
      </w:r>
      <w:r>
        <w:rPr>
          <w:i/>
        </w:rPr>
        <w:t>Everglades Electric</w:t>
      </w:r>
      <w:r>
        <w:t xml:space="preserve"> case, even where the landlord has substantially complied with the statute, a small, technical variation in the language of a single lease can lead to the blanket notice being found ineffective thus defeating the lien prohibition effect generally intended by the statute even where lienors were  not prejudiced by the technical non-compliance.</w:t>
      </w:r>
    </w:p>
    <w:p w:rsidR="00F75875" w:rsidRDefault="00F75875" w:rsidP="00F75875">
      <w:pPr>
        <w:ind w:firstLine="720"/>
        <w:jc w:val="both"/>
      </w:pPr>
    </w:p>
    <w:p w:rsidR="00F75875" w:rsidRDefault="00086B2D" w:rsidP="00115CBF">
      <w:pPr>
        <w:pStyle w:val="Body"/>
        <w:tabs>
          <w:tab w:val="left" w:pos="900"/>
        </w:tabs>
      </w:pPr>
      <w:r>
        <w:tab/>
      </w:r>
      <w:r w:rsidR="00157354">
        <w:t>In the 2011 legislative session</w:t>
      </w:r>
      <w:r w:rsidR="009B2C3D">
        <w:t>,</w:t>
      </w:r>
      <w:r w:rsidR="00157354">
        <w:t xml:space="preserve"> </w:t>
      </w:r>
      <w:r w:rsidR="00157354" w:rsidRPr="00157354">
        <w:rPr>
          <w:bCs/>
        </w:rPr>
        <w:t>CS</w:t>
      </w:r>
      <w:r w:rsidR="00B85B33">
        <w:rPr>
          <w:bCs/>
        </w:rPr>
        <w:t>/</w:t>
      </w:r>
      <w:r w:rsidR="00157354" w:rsidRPr="00157354">
        <w:rPr>
          <w:bCs/>
        </w:rPr>
        <w:t>CS</w:t>
      </w:r>
      <w:r w:rsidR="00B85B33">
        <w:rPr>
          <w:bCs/>
        </w:rPr>
        <w:t>/</w:t>
      </w:r>
      <w:r w:rsidR="009B2C3D">
        <w:rPr>
          <w:bCs/>
        </w:rPr>
        <w:t>SB 1196 was approved by the legislature and signed by Governor Scott, and was enacted as Chapter 2011-2012, Laws of Florida.  The 2011 legislation attempted</w:t>
      </w:r>
      <w:r w:rsidR="00157354">
        <w:t xml:space="preserve"> to address the </w:t>
      </w:r>
      <w:r w:rsidR="00157354">
        <w:rPr>
          <w:i/>
        </w:rPr>
        <w:t xml:space="preserve">Everglades Electric </w:t>
      </w:r>
      <w:r w:rsidR="00157354">
        <w:t xml:space="preserve">holding and provide </w:t>
      </w:r>
      <w:r w:rsidR="00115CBF">
        <w:t>greater</w:t>
      </w:r>
      <w:r w:rsidR="00157354">
        <w:t xml:space="preserve"> utility to the use of blanket notices of lien prohibition by landlords.  However, </w:t>
      </w:r>
      <w:r w:rsidR="009B2C3D">
        <w:t>this legislation did not modify that portion of</w:t>
      </w:r>
      <w:r w:rsidR="00157354">
        <w:t xml:space="preserve"> Section 713.10 (2)(b)</w:t>
      </w:r>
      <w:r w:rsidR="009B2C3D">
        <w:t>2.c. that states</w:t>
      </w:r>
      <w:r w:rsidR="00157354">
        <w:t xml:space="preserve"> </w:t>
      </w:r>
      <w:r w:rsidR="00115CBF">
        <w:t>that the blanket notice include “the specific language contained in the various leases prohibiting such liability.”  It is possible that with this language still in the statute</w:t>
      </w:r>
      <w:r w:rsidR="009B2C3D">
        <w:t>,</w:t>
      </w:r>
      <w:r w:rsidR="00115CBF">
        <w:t xml:space="preserve"> a court faced with the same fact pattern as that in </w:t>
      </w:r>
      <w:r w:rsidR="00115CBF">
        <w:rPr>
          <w:i/>
        </w:rPr>
        <w:t xml:space="preserve">Everglades Electric </w:t>
      </w:r>
      <w:r w:rsidR="00115CBF">
        <w:t xml:space="preserve">– a lease for a property that contains lien prohibition language that is different than the lien prohibition language in the blanket notice -- could reach the same result as the </w:t>
      </w:r>
      <w:r w:rsidR="00115CBF">
        <w:rPr>
          <w:i/>
        </w:rPr>
        <w:t>Everglades Electric</w:t>
      </w:r>
      <w:r w:rsidR="00115CBF">
        <w:t xml:space="preserve"> court and find the blanket notice ineffective to protect the landlord from liens arising from work performed by tenants.</w:t>
      </w:r>
    </w:p>
    <w:p w:rsidR="00115CBF" w:rsidRDefault="00115CBF" w:rsidP="00115CBF">
      <w:pPr>
        <w:pStyle w:val="Body"/>
        <w:tabs>
          <w:tab w:val="left" w:pos="900"/>
        </w:tabs>
      </w:pPr>
    </w:p>
    <w:p w:rsidR="00115CBF" w:rsidRDefault="00086B2D" w:rsidP="00115CBF">
      <w:pPr>
        <w:pStyle w:val="Body"/>
        <w:tabs>
          <w:tab w:val="left" w:pos="900"/>
        </w:tabs>
      </w:pPr>
      <w:r>
        <w:tab/>
      </w:r>
      <w:r w:rsidR="00115CBF">
        <w:t xml:space="preserve">Therefore, the proposed </w:t>
      </w:r>
      <w:r w:rsidR="009B2C3D">
        <w:t>legislation</w:t>
      </w:r>
      <w:r w:rsidR="00115CBF">
        <w:t xml:space="preserve"> will </w:t>
      </w:r>
      <w:r w:rsidR="00890D16">
        <w:t xml:space="preserve">add language confirming that a blanket notice will still be effective even if the lien prohibition language in the various leases for the property is not identical or does not match that in the blanket notice so as long as the lease at issue contains some form of a lien prohibition. </w:t>
      </w:r>
    </w:p>
    <w:p w:rsidR="001D3E09" w:rsidRDefault="001D3E09" w:rsidP="00115CBF">
      <w:pPr>
        <w:pStyle w:val="Body"/>
        <w:tabs>
          <w:tab w:val="left" w:pos="900"/>
        </w:tabs>
      </w:pPr>
    </w:p>
    <w:p w:rsidR="00F75875" w:rsidRDefault="001D3E09" w:rsidP="001D3E09">
      <w:pPr>
        <w:pStyle w:val="Body"/>
        <w:tabs>
          <w:tab w:val="left" w:pos="900"/>
        </w:tabs>
      </w:pPr>
      <w:r>
        <w:tab/>
        <w:t>The 2011 legislation also added a new Subsection 3 to Section 713.10 giving contractors and lienors the right to demand from the landlord a copy of the lien prohibition provision from the lease.  The failure to provide this lease provision or the provision of a false or fraudulent copy subjects the landlord’s interest to a lien by the demander.</w:t>
      </w:r>
    </w:p>
    <w:p w:rsidR="001D3E09" w:rsidRDefault="001D3E09" w:rsidP="001D3E09">
      <w:pPr>
        <w:pStyle w:val="Body"/>
        <w:tabs>
          <w:tab w:val="left" w:pos="900"/>
        </w:tabs>
      </w:pPr>
    </w:p>
    <w:p w:rsidR="001D3E09" w:rsidRPr="001D3E09" w:rsidRDefault="001D3E09" w:rsidP="001D3E09">
      <w:pPr>
        <w:pStyle w:val="Body"/>
        <w:tabs>
          <w:tab w:val="left" w:pos="900"/>
        </w:tabs>
      </w:pPr>
      <w:r>
        <w:tab/>
        <w:t xml:space="preserve">The title insurance industry has </w:t>
      </w:r>
      <w:r w:rsidR="00B85B33">
        <w:t xml:space="preserve">observed </w:t>
      </w:r>
      <w:r>
        <w:t xml:space="preserve">that </w:t>
      </w:r>
      <w:r w:rsidR="00BB45D1">
        <w:t>it</w:t>
      </w:r>
      <w:r>
        <w:t xml:space="preserve"> will not be able to rely on Section </w:t>
      </w:r>
      <w:r>
        <w:lastRenderedPageBreak/>
        <w:t>713.10</w:t>
      </w:r>
      <w:r w:rsidRPr="001D3E09">
        <w:t xml:space="preserve"> to insure over liens from work performed by tenants even if 713.10 has been properly followed</w:t>
      </w:r>
      <w:r w:rsidR="00BB45D1">
        <w:t>,</w:t>
      </w:r>
      <w:r w:rsidRPr="001D3E09">
        <w:t xml:space="preserve"> as the insurer </w:t>
      </w:r>
      <w:r w:rsidR="00BB45D1">
        <w:t xml:space="preserve">cannot </w:t>
      </w:r>
      <w:r w:rsidRPr="001D3E09">
        <w:t>determine whether the landlord has responded properly to all demands from lienors for copies of the lease provision.</w:t>
      </w:r>
      <w:r>
        <w:t xml:space="preserve">  To address this unintended consequence of the 2011 legislation, </w:t>
      </w:r>
      <w:r w:rsidR="00E77D58">
        <w:t xml:space="preserve">two </w:t>
      </w:r>
      <w:r>
        <w:t xml:space="preserve">new provisions have been added to </w:t>
      </w:r>
      <w:r w:rsidR="00BB45D1">
        <w:t>Section 713.10(3)</w:t>
      </w:r>
      <w:r w:rsidR="00E77D58">
        <w:t>.  The first provision requires</w:t>
      </w:r>
      <w:r>
        <w:t xml:space="preserve"> specific language </w:t>
      </w:r>
      <w:r w:rsidR="00E77D58">
        <w:t xml:space="preserve">to </w:t>
      </w:r>
      <w:r>
        <w:t xml:space="preserve">be included in any claim of lien premised on a landlord’s failure to comply with </w:t>
      </w:r>
      <w:r w:rsidR="00BB45D1">
        <w:t xml:space="preserve">such </w:t>
      </w:r>
      <w:r>
        <w:t>subsection so that title examiners will have notice of the basis of such a claim by a lienor</w:t>
      </w:r>
      <w:r w:rsidR="00E77D58">
        <w:t xml:space="preserve">.  The second provision provides </w:t>
      </w:r>
      <w:r>
        <w:t xml:space="preserve">that any lien under this subsection will not take effect as to </w:t>
      </w:r>
      <w:r w:rsidR="00E77D58">
        <w:t xml:space="preserve">third parties without notice until 30 days after the recording of the claim of lien.  This gives the third party priority over a lienor </w:t>
      </w:r>
      <w:r w:rsidR="004B1279">
        <w:t>whose lien is based on facts</w:t>
      </w:r>
      <w:r w:rsidR="00E77D58">
        <w:t xml:space="preserve"> that the third party could not reasonably have discovered and which is based on a </w:t>
      </w:r>
      <w:r w:rsidR="004B1279">
        <w:t>violation by a predecessor in title and no fault of the third party.  Without this provision</w:t>
      </w:r>
      <w:r w:rsidR="00BB45D1">
        <w:t>,</w:t>
      </w:r>
      <w:r w:rsidR="004B1279">
        <w:t xml:space="preserve"> title insurers will not be able to insure over notices of commencement for work by tenants</w:t>
      </w:r>
      <w:r w:rsidR="00BB45D1">
        <w:t>,</w:t>
      </w:r>
      <w:r w:rsidR="004B1279">
        <w:t xml:space="preserve"> causing great economic hardship for landlords seeking to sell or refinance their properties.</w:t>
      </w:r>
    </w:p>
    <w:p w:rsidR="001D3E09" w:rsidRDefault="001D3E09" w:rsidP="001D3E09">
      <w:pPr>
        <w:pStyle w:val="Body"/>
        <w:tabs>
          <w:tab w:val="left" w:pos="900"/>
        </w:tabs>
        <w:rPr>
          <w:b/>
          <w:bCs/>
        </w:rPr>
      </w:pPr>
    </w:p>
    <w:p w:rsidR="00F75875" w:rsidRDefault="00F75875" w:rsidP="00F75875">
      <w:pPr>
        <w:tabs>
          <w:tab w:val="left" w:pos="-1440"/>
        </w:tabs>
        <w:ind w:left="720" w:hanging="720"/>
        <w:jc w:val="both"/>
        <w:rPr>
          <w:b/>
          <w:bCs/>
        </w:rPr>
      </w:pPr>
      <w:r>
        <w:rPr>
          <w:b/>
          <w:bCs/>
        </w:rPr>
        <w:t>III.</w:t>
      </w:r>
      <w:r>
        <w:rPr>
          <w:b/>
          <w:bCs/>
        </w:rPr>
        <w:tab/>
        <w:t>EFFECT OF PROPOSED CHANGES</w:t>
      </w:r>
    </w:p>
    <w:p w:rsidR="00F75875" w:rsidRDefault="00F75875" w:rsidP="00F75875">
      <w:pPr>
        <w:tabs>
          <w:tab w:val="left" w:pos="-1440"/>
        </w:tabs>
        <w:ind w:left="720" w:hanging="720"/>
        <w:jc w:val="both"/>
        <w:rPr>
          <w:b/>
          <w:bCs/>
        </w:rPr>
      </w:pPr>
    </w:p>
    <w:p w:rsidR="00F75875" w:rsidRDefault="00F75875" w:rsidP="00F75875">
      <w:pPr>
        <w:tabs>
          <w:tab w:val="left" w:pos="-1440"/>
        </w:tabs>
        <w:jc w:val="both"/>
        <w:rPr>
          <w:bCs/>
        </w:rPr>
      </w:pPr>
      <w:r>
        <w:rPr>
          <w:b/>
          <w:bCs/>
        </w:rPr>
        <w:tab/>
      </w:r>
      <w:r w:rsidR="00E31627">
        <w:t>A</w:t>
      </w:r>
      <w:r w:rsidR="00B22A37">
        <w:t xml:space="preserve"> blanket notice recorded by </w:t>
      </w:r>
      <w:r w:rsidR="00BB45D1">
        <w:t>a landlord under Section 713.10</w:t>
      </w:r>
      <w:r w:rsidR="00B22A37">
        <w:t xml:space="preserve">(2)(b) will still be valid and the landlord’s interest in premises will not be liable for liens arising from work performed by a tenant even if the leases for the overall property have different versions of the lien prohibition language or no lien prohibition language at all, so long as a majority of the leases </w:t>
      </w:r>
      <w:r w:rsidR="00890D16">
        <w:t xml:space="preserve">and the lease under which the work in question is being performed </w:t>
      </w:r>
      <w:r w:rsidR="00B22A37">
        <w:t>contain</w:t>
      </w:r>
      <w:r w:rsidR="00D1123C">
        <w:t>s</w:t>
      </w:r>
      <w:r w:rsidR="00B22A37">
        <w:t xml:space="preserve"> </w:t>
      </w:r>
      <w:r w:rsidR="00890D16">
        <w:t xml:space="preserve">some type of </w:t>
      </w:r>
      <w:r w:rsidR="00B22A37">
        <w:t>lien prohibition language.</w:t>
      </w:r>
      <w:r w:rsidR="00BB45D1">
        <w:t xml:space="preserve">  </w:t>
      </w:r>
      <w:r w:rsidR="00BB45D1">
        <w:rPr>
          <w:bCs/>
        </w:rPr>
        <w:t>Additionally</w:t>
      </w:r>
      <w:r w:rsidR="004B1279">
        <w:rPr>
          <w:bCs/>
        </w:rPr>
        <w:t>, third parties without notice will not be liable for liens resulting from a predecessor’s failure to comply properly with a demand for a copy of lien prohibition language and in title transactions involving landlords, title insurers will be able to insure over notices of commencement for work being performed by tenants.</w:t>
      </w:r>
      <w:r>
        <w:rPr>
          <w:bCs/>
        </w:rPr>
        <w:tab/>
      </w:r>
    </w:p>
    <w:p w:rsidR="00F75875" w:rsidRDefault="00F75875" w:rsidP="00F75875">
      <w:pPr>
        <w:ind w:firstLine="720"/>
        <w:jc w:val="both"/>
      </w:pPr>
      <w:r>
        <w:tab/>
      </w:r>
    </w:p>
    <w:p w:rsidR="00F75875" w:rsidRDefault="00F75875" w:rsidP="00F75875">
      <w:pPr>
        <w:tabs>
          <w:tab w:val="left" w:pos="-1440"/>
        </w:tabs>
        <w:ind w:left="720" w:hanging="720"/>
        <w:jc w:val="both"/>
      </w:pPr>
      <w:r>
        <w:rPr>
          <w:b/>
          <w:bCs/>
        </w:rPr>
        <w:t>IV.</w:t>
      </w:r>
      <w:r>
        <w:rPr>
          <w:b/>
          <w:bCs/>
        </w:rPr>
        <w:tab/>
        <w:t>FISCAL IMPACT ON STATE AND LOCAL GOVERNMENTS</w:t>
      </w:r>
    </w:p>
    <w:p w:rsidR="00F75875" w:rsidRDefault="00F75875" w:rsidP="00F75875">
      <w:pPr>
        <w:jc w:val="both"/>
      </w:pPr>
    </w:p>
    <w:p w:rsidR="00F75875" w:rsidRDefault="00F75875" w:rsidP="00F75875">
      <w:pPr>
        <w:ind w:firstLine="720"/>
        <w:jc w:val="both"/>
      </w:pPr>
      <w:r>
        <w:t xml:space="preserve">The proposal does not have a fiscal impact on state or local governments.   </w:t>
      </w:r>
    </w:p>
    <w:p w:rsidR="00F75875" w:rsidRDefault="00F75875" w:rsidP="00F75875">
      <w:pPr>
        <w:tabs>
          <w:tab w:val="left" w:pos="-1440"/>
        </w:tabs>
        <w:ind w:left="720" w:hanging="720"/>
        <w:jc w:val="both"/>
        <w:rPr>
          <w:b/>
          <w:bCs/>
        </w:rPr>
      </w:pPr>
    </w:p>
    <w:p w:rsidR="00F75875" w:rsidRDefault="00F75875" w:rsidP="00F75875">
      <w:pPr>
        <w:tabs>
          <w:tab w:val="left" w:pos="-1440"/>
        </w:tabs>
        <w:ind w:left="720" w:hanging="720"/>
        <w:jc w:val="both"/>
      </w:pPr>
      <w:r>
        <w:rPr>
          <w:b/>
          <w:bCs/>
        </w:rPr>
        <w:t>V.</w:t>
      </w:r>
      <w:r>
        <w:rPr>
          <w:b/>
          <w:bCs/>
        </w:rPr>
        <w:tab/>
        <w:t>DIRECT ECONOMIC IMPACT ON PRIVATE SECTOR</w:t>
      </w:r>
    </w:p>
    <w:p w:rsidR="00F75875" w:rsidRDefault="00F75875" w:rsidP="00F75875">
      <w:pPr>
        <w:jc w:val="both"/>
      </w:pPr>
    </w:p>
    <w:p w:rsidR="00F75875" w:rsidRDefault="00F75875" w:rsidP="00115CBF">
      <w:pPr>
        <w:ind w:firstLine="720"/>
        <w:jc w:val="both"/>
      </w:pPr>
      <w:r>
        <w:t xml:space="preserve">The passage of this proposal should economically benefit property owners, allowing them to protect against construction liens resulting from construction projects undertaken by a tenant. </w:t>
      </w:r>
      <w:r w:rsidR="00115CBF">
        <w:t xml:space="preserve"> </w:t>
      </w:r>
    </w:p>
    <w:p w:rsidR="00B22A37" w:rsidRDefault="00B22A37" w:rsidP="00115CBF">
      <w:pPr>
        <w:ind w:firstLine="720"/>
        <w:jc w:val="both"/>
      </w:pPr>
    </w:p>
    <w:p w:rsidR="00F75875" w:rsidRDefault="00F75875" w:rsidP="00F75875">
      <w:pPr>
        <w:tabs>
          <w:tab w:val="left" w:pos="-1440"/>
        </w:tabs>
        <w:ind w:left="720" w:hanging="720"/>
        <w:jc w:val="both"/>
      </w:pPr>
      <w:r>
        <w:rPr>
          <w:b/>
          <w:bCs/>
        </w:rPr>
        <w:t>VI.</w:t>
      </w:r>
      <w:r>
        <w:rPr>
          <w:b/>
          <w:bCs/>
        </w:rPr>
        <w:tab/>
        <w:t>CONSTITUTIONAL ISSUES</w:t>
      </w:r>
    </w:p>
    <w:p w:rsidR="00F75875" w:rsidRDefault="00F75875" w:rsidP="00F75875">
      <w:pPr>
        <w:jc w:val="both"/>
      </w:pPr>
    </w:p>
    <w:p w:rsidR="00F75875" w:rsidRDefault="00F75875" w:rsidP="00F75875">
      <w:pPr>
        <w:ind w:firstLine="720"/>
        <w:jc w:val="both"/>
      </w:pPr>
      <w:r>
        <w:t>This proposal should not raise any constitutional issues.</w:t>
      </w:r>
    </w:p>
    <w:p w:rsidR="00F75875" w:rsidRDefault="00F75875" w:rsidP="00F75875">
      <w:pPr>
        <w:jc w:val="both"/>
      </w:pPr>
    </w:p>
    <w:p w:rsidR="00F75875" w:rsidRDefault="00F75875" w:rsidP="00F75875">
      <w:pPr>
        <w:keepNext/>
        <w:keepLines/>
        <w:tabs>
          <w:tab w:val="left" w:pos="-1440"/>
        </w:tabs>
        <w:ind w:left="720" w:hanging="720"/>
        <w:jc w:val="both"/>
        <w:rPr>
          <w:b/>
          <w:bCs/>
        </w:rPr>
      </w:pPr>
      <w:r>
        <w:rPr>
          <w:b/>
          <w:bCs/>
        </w:rPr>
        <w:t>V.</w:t>
      </w:r>
      <w:r>
        <w:rPr>
          <w:b/>
          <w:bCs/>
        </w:rPr>
        <w:tab/>
        <w:t>OTHER INTERESTED PARTIES</w:t>
      </w:r>
    </w:p>
    <w:p w:rsidR="00F75875" w:rsidRDefault="00F75875" w:rsidP="00F75875">
      <w:pPr>
        <w:keepNext/>
        <w:keepLines/>
        <w:tabs>
          <w:tab w:val="left" w:pos="-1440"/>
        </w:tabs>
        <w:ind w:left="720" w:hanging="720"/>
        <w:jc w:val="both"/>
        <w:rPr>
          <w:b/>
          <w:bCs/>
        </w:rPr>
      </w:pPr>
    </w:p>
    <w:p w:rsidR="00F75875" w:rsidRDefault="00F75875" w:rsidP="00F75875">
      <w:pPr>
        <w:keepNext/>
        <w:keepLines/>
        <w:tabs>
          <w:tab w:val="left" w:pos="-1440"/>
        </w:tabs>
        <w:ind w:left="720" w:hanging="720"/>
        <w:jc w:val="both"/>
      </w:pPr>
      <w:r>
        <w:tab/>
        <w:t>Associated General Contractors</w:t>
      </w:r>
      <w:r>
        <w:tab/>
      </w:r>
    </w:p>
    <w:p w:rsidR="00F75875" w:rsidRDefault="00F75875" w:rsidP="00F75875">
      <w:pPr>
        <w:pStyle w:val="Body"/>
      </w:pPr>
      <w:r>
        <w:tab/>
        <w:t>Florida Home Builders Association</w:t>
      </w:r>
    </w:p>
    <w:p w:rsidR="00F75875" w:rsidRDefault="00F75875" w:rsidP="00F75875">
      <w:pPr>
        <w:pStyle w:val="Body"/>
      </w:pPr>
      <w:r>
        <w:tab/>
        <w:t>Florida Apartment Association</w:t>
      </w:r>
    </w:p>
    <w:p w:rsidR="00F75875" w:rsidRDefault="00F75875" w:rsidP="00F75875">
      <w:pPr>
        <w:pStyle w:val="Body"/>
      </w:pPr>
      <w:r>
        <w:tab/>
        <w:t>Florida Association of Realtors</w:t>
      </w:r>
    </w:p>
    <w:p w:rsidR="00F75875" w:rsidRDefault="00F75875" w:rsidP="00F75875">
      <w:pPr>
        <w:keepNext/>
        <w:keepLines/>
        <w:tabs>
          <w:tab w:val="left" w:pos="-1440"/>
        </w:tabs>
        <w:ind w:left="720" w:hanging="720"/>
        <w:jc w:val="both"/>
      </w:pPr>
      <w:r>
        <w:lastRenderedPageBreak/>
        <w:tab/>
        <w:t xml:space="preserve">International Council of Shopping Centers </w:t>
      </w:r>
    </w:p>
    <w:p w:rsidR="00F75875" w:rsidRDefault="00F75875" w:rsidP="00F75875">
      <w:pPr>
        <w:keepNext/>
        <w:keepLines/>
        <w:tabs>
          <w:tab w:val="left" w:pos="-1440"/>
        </w:tabs>
        <w:ind w:left="720" w:hanging="720"/>
        <w:jc w:val="both"/>
      </w:pPr>
      <w:r>
        <w:tab/>
        <w:t>National Association of Industrial and Office Properties</w:t>
      </w:r>
    </w:p>
    <w:p w:rsidR="00195157" w:rsidRPr="00546541" w:rsidRDefault="00086B2D" w:rsidP="00546541">
      <w:pPr>
        <w:pStyle w:val="Body"/>
      </w:pPr>
      <w:r>
        <w:tab/>
      </w:r>
      <w:r w:rsidRPr="00086B2D">
        <w:t>National Assn of Credit Mgt-Improved Construction Practices Committee</w:t>
      </w:r>
    </w:p>
    <w:sectPr w:rsidR="00195157" w:rsidRPr="00546541" w:rsidSect="00071C0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C9A" w:rsidRDefault="00335C9A">
      <w:r>
        <w:separator/>
      </w:r>
    </w:p>
  </w:endnote>
  <w:endnote w:type="continuationSeparator" w:id="0">
    <w:p w:rsidR="00335C9A" w:rsidRDefault="00335C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97" w:rsidRDefault="00BC12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97" w:rsidRPr="004B1279" w:rsidRDefault="00071C0A" w:rsidP="004B1279">
    <w:pPr>
      <w:pStyle w:val="Footer"/>
    </w:pPr>
    <w:fldSimple w:instr=" DOCPROPERTY &quot;DocID&quot; \* MERGEFORMAT ">
      <w:r w:rsidR="00266CA7" w:rsidRPr="00266CA7">
        <w:rPr>
          <w:rStyle w:val="DocID"/>
        </w:rPr>
        <w:t>21313687.2</w:t>
      </w:r>
    </w:fldSimple>
    <w:r w:rsidR="00BC1297" w:rsidRPr="00B85B33">
      <w:rPr>
        <w:rStyle w:val="DocID"/>
      </w:rPr>
      <w:t xml:space="preserve"> </w:t>
    </w:r>
  </w:p>
  <w:p w:rsidR="00BC1297" w:rsidRDefault="00BC1297" w:rsidP="004B1279">
    <w:pPr>
      <w:pStyle w:val="Footer"/>
    </w:pPr>
    <w:r w:rsidRPr="004B1279">
      <w:t xml:space="preserve"> </w:t>
    </w:r>
    <w:r>
      <w:tab/>
    </w:r>
    <w:fldSimple w:instr=" PAGE \* MERGEFORMAT \* MERGEFORMAT ">
      <w:r w:rsidR="00BB45D1">
        <w:rPr>
          <w:noProof/>
        </w:rPr>
        <w:t>3</w:t>
      </w:r>
    </w:fldSimple>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97" w:rsidRPr="004B1279" w:rsidRDefault="00071C0A" w:rsidP="004B1279">
    <w:pPr>
      <w:pStyle w:val="Footer"/>
    </w:pPr>
    <w:fldSimple w:instr=" DOCPROPERTY &quot;DocID&quot; \* MERGEFORMAT ">
      <w:r w:rsidR="00266CA7" w:rsidRPr="00266CA7">
        <w:rPr>
          <w:rStyle w:val="DocID"/>
        </w:rPr>
        <w:t>21313687.2</w:t>
      </w:r>
    </w:fldSimple>
    <w:r w:rsidR="00BC1297" w:rsidRPr="00B85B33">
      <w:rPr>
        <w:rStyle w:val="DocID"/>
      </w:rPr>
      <w:t xml:space="preserve"> </w:t>
    </w:r>
  </w:p>
  <w:p w:rsidR="00BC1297" w:rsidRPr="004B1279" w:rsidRDefault="00BC1297" w:rsidP="004B1279">
    <w:pPr>
      <w:pStyle w:val="Footer"/>
    </w:pPr>
    <w:r w:rsidRPr="004B1279">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C9A" w:rsidRDefault="00335C9A">
      <w:r>
        <w:separator/>
      </w:r>
    </w:p>
  </w:footnote>
  <w:footnote w:type="continuationSeparator" w:id="0">
    <w:p w:rsidR="00335C9A" w:rsidRDefault="00335C9A" w:rsidP="0066719B">
      <w:r>
        <w:separator/>
      </w:r>
      <w:r>
        <w:t xml:space="preserve"> (cont.)</w:t>
      </w:r>
    </w:p>
    <w:p w:rsidR="00335C9A" w:rsidRDefault="00335C9A"/>
  </w:footnote>
  <w:footnote w:id="1">
    <w:p w:rsidR="00BC1297" w:rsidRDefault="00BC1297" w:rsidP="00F75875">
      <w:pPr>
        <w:pStyle w:val="FootnoteText"/>
      </w:pPr>
      <w:r>
        <w:rPr>
          <w:rStyle w:val="FootnoteReference"/>
        </w:rPr>
        <w:footnoteRef/>
      </w:r>
      <w:r>
        <w:t xml:space="preserve"> The term “short form of lease” is not commonly used as the name of the document that is recorded in lieu of recording the entire lease.  The term “memorandum of lease” is more prevalent.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97" w:rsidRDefault="00BC12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97" w:rsidRDefault="00BC129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97" w:rsidRDefault="00BC12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F401F86"/>
    <w:lvl w:ilvl="0">
      <w:start w:val="1"/>
      <w:numFmt w:val="decimal"/>
      <w:pStyle w:val="ListNumber5"/>
      <w:lvlText w:val="%1."/>
      <w:lvlJc w:val="left"/>
      <w:pPr>
        <w:tabs>
          <w:tab w:val="num" w:pos="1800"/>
        </w:tabs>
        <w:ind w:left="1800" w:hanging="360"/>
      </w:pPr>
      <w:rPr>
        <w:rFonts w:cs="Times New Roman"/>
      </w:rPr>
    </w:lvl>
  </w:abstractNum>
  <w:abstractNum w:abstractNumId="1">
    <w:nsid w:val="FFFFFF7D"/>
    <w:multiLevelType w:val="singleLevel"/>
    <w:tmpl w:val="95EAAEC4"/>
    <w:lvl w:ilvl="0">
      <w:start w:val="1"/>
      <w:numFmt w:val="decimal"/>
      <w:pStyle w:val="ListNumber4"/>
      <w:lvlText w:val="%1."/>
      <w:lvlJc w:val="left"/>
      <w:pPr>
        <w:tabs>
          <w:tab w:val="num" w:pos="1440"/>
        </w:tabs>
        <w:ind w:left="1440" w:hanging="360"/>
      </w:pPr>
      <w:rPr>
        <w:rFonts w:cs="Times New Roman"/>
      </w:rPr>
    </w:lvl>
  </w:abstractNum>
  <w:abstractNum w:abstractNumId="2">
    <w:nsid w:val="FFFFFF7E"/>
    <w:multiLevelType w:val="singleLevel"/>
    <w:tmpl w:val="E236BD5A"/>
    <w:lvl w:ilvl="0">
      <w:start w:val="1"/>
      <w:numFmt w:val="decimal"/>
      <w:pStyle w:val="ListNumber3"/>
      <w:lvlText w:val="%1."/>
      <w:lvlJc w:val="left"/>
      <w:pPr>
        <w:tabs>
          <w:tab w:val="num" w:pos="1080"/>
        </w:tabs>
        <w:ind w:left="1080" w:hanging="360"/>
      </w:pPr>
      <w:rPr>
        <w:rFonts w:cs="Times New Roman"/>
      </w:rPr>
    </w:lvl>
  </w:abstractNum>
  <w:abstractNum w:abstractNumId="3">
    <w:nsid w:val="FFFFFF7F"/>
    <w:multiLevelType w:val="singleLevel"/>
    <w:tmpl w:val="B882D884"/>
    <w:lvl w:ilvl="0">
      <w:start w:val="1"/>
      <w:numFmt w:val="decimal"/>
      <w:pStyle w:val="ListNumber2"/>
      <w:lvlText w:val="%1."/>
      <w:lvlJc w:val="left"/>
      <w:pPr>
        <w:tabs>
          <w:tab w:val="num" w:pos="720"/>
        </w:tabs>
        <w:ind w:left="720" w:hanging="360"/>
      </w:pPr>
      <w:rPr>
        <w:rFonts w:cs="Times New Roman"/>
      </w:rPr>
    </w:lvl>
  </w:abstractNum>
  <w:abstractNum w:abstractNumId="4">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1E355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D2751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A872CE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CCA74D6"/>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3A3C619A"/>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4">
    <w:nsid w:val="3B90444F"/>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3D570300"/>
    <w:multiLevelType w:val="multilevel"/>
    <w:tmpl w:val="040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nsid w:val="55D7662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nsid w:val="5A925825"/>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79C661B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6"/>
  </w:num>
  <w:num w:numId="32">
    <w:abstractNumId w:val="17"/>
  </w:num>
  <w:num w:numId="33">
    <w:abstractNumId w:val="14"/>
  </w:num>
  <w:num w:numId="34">
    <w:abstractNumId w:val="15"/>
  </w:num>
  <w:num w:numId="35">
    <w:abstractNumId w:val="13"/>
  </w:num>
  <w:num w:numId="36">
    <w:abstractNumId w:val="12"/>
  </w:num>
  <w:num w:numId="37">
    <w:abstractNumId w:val="18"/>
  </w:num>
  <w:num w:numId="38">
    <w:abstractNumId w:val="11"/>
  </w:num>
  <w:num w:numId="3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stylePaneFormatFilter w:val="0004"/>
  <w:doNotTrackMoves/>
  <w:defaultTabStop w:val="720"/>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LegacyDocIDRemoved" w:val="True"/>
  </w:docVars>
  <w:rsids>
    <w:rsidRoot w:val="00117707"/>
    <w:rsid w:val="00000FB0"/>
    <w:rsid w:val="000057F3"/>
    <w:rsid w:val="00031912"/>
    <w:rsid w:val="00033770"/>
    <w:rsid w:val="00057494"/>
    <w:rsid w:val="00060F34"/>
    <w:rsid w:val="00066190"/>
    <w:rsid w:val="00071C0A"/>
    <w:rsid w:val="00073F16"/>
    <w:rsid w:val="00081440"/>
    <w:rsid w:val="0008277B"/>
    <w:rsid w:val="00086B2D"/>
    <w:rsid w:val="00087A46"/>
    <w:rsid w:val="000B0BC2"/>
    <w:rsid w:val="000C0F4C"/>
    <w:rsid w:val="000C5E06"/>
    <w:rsid w:val="000C7127"/>
    <w:rsid w:val="000D2EC2"/>
    <w:rsid w:val="000D5CEE"/>
    <w:rsid w:val="000D7724"/>
    <w:rsid w:val="000D7FD3"/>
    <w:rsid w:val="000E5BAD"/>
    <w:rsid w:val="000F3B27"/>
    <w:rsid w:val="00105D7F"/>
    <w:rsid w:val="0011167C"/>
    <w:rsid w:val="00115090"/>
    <w:rsid w:val="00115CBF"/>
    <w:rsid w:val="00117707"/>
    <w:rsid w:val="00122DF8"/>
    <w:rsid w:val="0013005D"/>
    <w:rsid w:val="00151067"/>
    <w:rsid w:val="00157354"/>
    <w:rsid w:val="0016347F"/>
    <w:rsid w:val="00164D6A"/>
    <w:rsid w:val="00187013"/>
    <w:rsid w:val="00195157"/>
    <w:rsid w:val="001A70F9"/>
    <w:rsid w:val="001B1C35"/>
    <w:rsid w:val="001B622B"/>
    <w:rsid w:val="001C4A9E"/>
    <w:rsid w:val="001C7D0A"/>
    <w:rsid w:val="001D06C3"/>
    <w:rsid w:val="001D1CFC"/>
    <w:rsid w:val="001D34CF"/>
    <w:rsid w:val="001D3E09"/>
    <w:rsid w:val="001D43E9"/>
    <w:rsid w:val="00202B7B"/>
    <w:rsid w:val="0021462E"/>
    <w:rsid w:val="00233DBD"/>
    <w:rsid w:val="00253314"/>
    <w:rsid w:val="00257E00"/>
    <w:rsid w:val="00266CA7"/>
    <w:rsid w:val="00275022"/>
    <w:rsid w:val="00280ACE"/>
    <w:rsid w:val="00281B10"/>
    <w:rsid w:val="002A0837"/>
    <w:rsid w:val="002B04E3"/>
    <w:rsid w:val="002B412F"/>
    <w:rsid w:val="002B7F86"/>
    <w:rsid w:val="002C01C8"/>
    <w:rsid w:val="002C2E66"/>
    <w:rsid w:val="002D16CE"/>
    <w:rsid w:val="002E03BB"/>
    <w:rsid w:val="002E3846"/>
    <w:rsid w:val="002E3A59"/>
    <w:rsid w:val="002F4AAD"/>
    <w:rsid w:val="00303C39"/>
    <w:rsid w:val="00307BAF"/>
    <w:rsid w:val="00314509"/>
    <w:rsid w:val="0032287D"/>
    <w:rsid w:val="00327661"/>
    <w:rsid w:val="00335C9A"/>
    <w:rsid w:val="003443B6"/>
    <w:rsid w:val="00360DC5"/>
    <w:rsid w:val="00363BF4"/>
    <w:rsid w:val="00386C68"/>
    <w:rsid w:val="003910EA"/>
    <w:rsid w:val="003A5310"/>
    <w:rsid w:val="003C10A6"/>
    <w:rsid w:val="003E2D8A"/>
    <w:rsid w:val="003E3589"/>
    <w:rsid w:val="003F40FF"/>
    <w:rsid w:val="003F567E"/>
    <w:rsid w:val="004323B8"/>
    <w:rsid w:val="00434556"/>
    <w:rsid w:val="00454564"/>
    <w:rsid w:val="004547B8"/>
    <w:rsid w:val="0046165A"/>
    <w:rsid w:val="00462C04"/>
    <w:rsid w:val="00485E5F"/>
    <w:rsid w:val="00492DDC"/>
    <w:rsid w:val="004A3B3D"/>
    <w:rsid w:val="004A5770"/>
    <w:rsid w:val="004A71DC"/>
    <w:rsid w:val="004B1279"/>
    <w:rsid w:val="004B7481"/>
    <w:rsid w:val="004C137D"/>
    <w:rsid w:val="004C3DA6"/>
    <w:rsid w:val="004D3B65"/>
    <w:rsid w:val="004D43F2"/>
    <w:rsid w:val="004D508C"/>
    <w:rsid w:val="004E4176"/>
    <w:rsid w:val="004E7628"/>
    <w:rsid w:val="004F1269"/>
    <w:rsid w:val="004F67BC"/>
    <w:rsid w:val="0053406C"/>
    <w:rsid w:val="00535FA2"/>
    <w:rsid w:val="00541A83"/>
    <w:rsid w:val="00546541"/>
    <w:rsid w:val="00554332"/>
    <w:rsid w:val="00561057"/>
    <w:rsid w:val="00574AD0"/>
    <w:rsid w:val="00580FEE"/>
    <w:rsid w:val="0059001B"/>
    <w:rsid w:val="005A5ED6"/>
    <w:rsid w:val="005A7874"/>
    <w:rsid w:val="005C223A"/>
    <w:rsid w:val="005F1BEC"/>
    <w:rsid w:val="00603C1D"/>
    <w:rsid w:val="006121EF"/>
    <w:rsid w:val="006158B1"/>
    <w:rsid w:val="00627CE3"/>
    <w:rsid w:val="00634C81"/>
    <w:rsid w:val="006351DD"/>
    <w:rsid w:val="006461BC"/>
    <w:rsid w:val="00652E65"/>
    <w:rsid w:val="0066719B"/>
    <w:rsid w:val="00671B5A"/>
    <w:rsid w:val="00675340"/>
    <w:rsid w:val="00683AD5"/>
    <w:rsid w:val="006B156B"/>
    <w:rsid w:val="006D6930"/>
    <w:rsid w:val="006E50FF"/>
    <w:rsid w:val="007033E1"/>
    <w:rsid w:val="00706C59"/>
    <w:rsid w:val="00721978"/>
    <w:rsid w:val="00744FB0"/>
    <w:rsid w:val="00760C5B"/>
    <w:rsid w:val="00770016"/>
    <w:rsid w:val="00775BA9"/>
    <w:rsid w:val="007816AD"/>
    <w:rsid w:val="00783B3C"/>
    <w:rsid w:val="0078768D"/>
    <w:rsid w:val="007A7662"/>
    <w:rsid w:val="007B0C59"/>
    <w:rsid w:val="007B585A"/>
    <w:rsid w:val="007C60EC"/>
    <w:rsid w:val="007C77DF"/>
    <w:rsid w:val="007E0860"/>
    <w:rsid w:val="007E55B0"/>
    <w:rsid w:val="007F3685"/>
    <w:rsid w:val="0080332E"/>
    <w:rsid w:val="00804F93"/>
    <w:rsid w:val="008304E6"/>
    <w:rsid w:val="00833319"/>
    <w:rsid w:val="00833981"/>
    <w:rsid w:val="0084156C"/>
    <w:rsid w:val="008505D9"/>
    <w:rsid w:val="0086625E"/>
    <w:rsid w:val="00872533"/>
    <w:rsid w:val="00873DE8"/>
    <w:rsid w:val="008768E4"/>
    <w:rsid w:val="00890D16"/>
    <w:rsid w:val="008949DB"/>
    <w:rsid w:val="00894B0D"/>
    <w:rsid w:val="00895D4D"/>
    <w:rsid w:val="008A70F9"/>
    <w:rsid w:val="008B7742"/>
    <w:rsid w:val="008C4ADF"/>
    <w:rsid w:val="008C6DA9"/>
    <w:rsid w:val="008E58DF"/>
    <w:rsid w:val="008E7E13"/>
    <w:rsid w:val="008F1A3A"/>
    <w:rsid w:val="008F699A"/>
    <w:rsid w:val="00902BAB"/>
    <w:rsid w:val="00911BBA"/>
    <w:rsid w:val="00912E26"/>
    <w:rsid w:val="0091333C"/>
    <w:rsid w:val="00924498"/>
    <w:rsid w:val="0093033E"/>
    <w:rsid w:val="009306D3"/>
    <w:rsid w:val="00936A2C"/>
    <w:rsid w:val="00940B90"/>
    <w:rsid w:val="00950EFF"/>
    <w:rsid w:val="00951592"/>
    <w:rsid w:val="00956EFD"/>
    <w:rsid w:val="00965AB6"/>
    <w:rsid w:val="0098307F"/>
    <w:rsid w:val="0098385D"/>
    <w:rsid w:val="009A30B8"/>
    <w:rsid w:val="009A4C42"/>
    <w:rsid w:val="009B2C3D"/>
    <w:rsid w:val="009C7813"/>
    <w:rsid w:val="009E1F20"/>
    <w:rsid w:val="009F36C4"/>
    <w:rsid w:val="009F6AD4"/>
    <w:rsid w:val="00A104CA"/>
    <w:rsid w:val="00A1506B"/>
    <w:rsid w:val="00A400E1"/>
    <w:rsid w:val="00A4191B"/>
    <w:rsid w:val="00A433FF"/>
    <w:rsid w:val="00A51AEB"/>
    <w:rsid w:val="00A819BF"/>
    <w:rsid w:val="00AA4A65"/>
    <w:rsid w:val="00AB543F"/>
    <w:rsid w:val="00AB7CDB"/>
    <w:rsid w:val="00AD13B9"/>
    <w:rsid w:val="00AF7538"/>
    <w:rsid w:val="00B04C1B"/>
    <w:rsid w:val="00B22A37"/>
    <w:rsid w:val="00B275F5"/>
    <w:rsid w:val="00B517A3"/>
    <w:rsid w:val="00B65528"/>
    <w:rsid w:val="00B724C8"/>
    <w:rsid w:val="00B8032E"/>
    <w:rsid w:val="00B828B0"/>
    <w:rsid w:val="00B85B33"/>
    <w:rsid w:val="00B93E2A"/>
    <w:rsid w:val="00BA7784"/>
    <w:rsid w:val="00BB2CAF"/>
    <w:rsid w:val="00BB45D1"/>
    <w:rsid w:val="00BB7E01"/>
    <w:rsid w:val="00BC0813"/>
    <w:rsid w:val="00BC1297"/>
    <w:rsid w:val="00BE2E6A"/>
    <w:rsid w:val="00BE3C4B"/>
    <w:rsid w:val="00C04A59"/>
    <w:rsid w:val="00C17DE8"/>
    <w:rsid w:val="00C17F9C"/>
    <w:rsid w:val="00C20C6D"/>
    <w:rsid w:val="00C31AFA"/>
    <w:rsid w:val="00C34E87"/>
    <w:rsid w:val="00C40A22"/>
    <w:rsid w:val="00C578F2"/>
    <w:rsid w:val="00C668BE"/>
    <w:rsid w:val="00C862AE"/>
    <w:rsid w:val="00CA28E2"/>
    <w:rsid w:val="00CB7C93"/>
    <w:rsid w:val="00CC2A0B"/>
    <w:rsid w:val="00D0416E"/>
    <w:rsid w:val="00D1123C"/>
    <w:rsid w:val="00D21F2D"/>
    <w:rsid w:val="00D31C15"/>
    <w:rsid w:val="00D50DBF"/>
    <w:rsid w:val="00D53F6A"/>
    <w:rsid w:val="00D630E9"/>
    <w:rsid w:val="00D65465"/>
    <w:rsid w:val="00D71A38"/>
    <w:rsid w:val="00D74414"/>
    <w:rsid w:val="00D8058F"/>
    <w:rsid w:val="00D855AD"/>
    <w:rsid w:val="00D943A7"/>
    <w:rsid w:val="00DB6860"/>
    <w:rsid w:val="00DC3A7C"/>
    <w:rsid w:val="00DC5D10"/>
    <w:rsid w:val="00DC7EFC"/>
    <w:rsid w:val="00DD5039"/>
    <w:rsid w:val="00DE5E85"/>
    <w:rsid w:val="00DF3EA6"/>
    <w:rsid w:val="00DF5489"/>
    <w:rsid w:val="00E068FD"/>
    <w:rsid w:val="00E07F11"/>
    <w:rsid w:val="00E31627"/>
    <w:rsid w:val="00E4195C"/>
    <w:rsid w:val="00E47354"/>
    <w:rsid w:val="00E64450"/>
    <w:rsid w:val="00E77D58"/>
    <w:rsid w:val="00E81A6B"/>
    <w:rsid w:val="00E8501A"/>
    <w:rsid w:val="00E85A23"/>
    <w:rsid w:val="00E943EA"/>
    <w:rsid w:val="00E95024"/>
    <w:rsid w:val="00E960DB"/>
    <w:rsid w:val="00EA7511"/>
    <w:rsid w:val="00EC2ADC"/>
    <w:rsid w:val="00EC66B0"/>
    <w:rsid w:val="00EE0B17"/>
    <w:rsid w:val="00EF3B0B"/>
    <w:rsid w:val="00F00455"/>
    <w:rsid w:val="00F04D5D"/>
    <w:rsid w:val="00F073B0"/>
    <w:rsid w:val="00F10D3A"/>
    <w:rsid w:val="00F1730F"/>
    <w:rsid w:val="00F3074E"/>
    <w:rsid w:val="00F31492"/>
    <w:rsid w:val="00F37AD8"/>
    <w:rsid w:val="00F441D1"/>
    <w:rsid w:val="00F458EC"/>
    <w:rsid w:val="00F52560"/>
    <w:rsid w:val="00F53609"/>
    <w:rsid w:val="00F61EBB"/>
    <w:rsid w:val="00F66FEA"/>
    <w:rsid w:val="00F72D73"/>
    <w:rsid w:val="00F75875"/>
    <w:rsid w:val="00F82E01"/>
    <w:rsid w:val="00F97601"/>
    <w:rsid w:val="00FA198D"/>
    <w:rsid w:val="00FC3494"/>
    <w:rsid w:val="00FC63C2"/>
    <w:rsid w:val="00FE6669"/>
    <w:rsid w:val="00FF57E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5875"/>
    <w:pPr>
      <w:widowControl w:val="0"/>
      <w:autoSpaceDE w:val="0"/>
      <w:autoSpaceDN w:val="0"/>
      <w:adjustRightInd w:val="0"/>
    </w:pPr>
    <w:rPr>
      <w:sz w:val="24"/>
      <w:szCs w:val="24"/>
    </w:rPr>
  </w:style>
  <w:style w:type="paragraph" w:styleId="Heading1">
    <w:name w:val="heading 1"/>
    <w:basedOn w:val="Normal"/>
    <w:next w:val="Normal"/>
    <w:qFormat/>
    <w:rsid w:val="008725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7253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72533"/>
    <w:pPr>
      <w:keepNext/>
      <w:spacing w:before="240" w:after="60"/>
      <w:outlineLvl w:val="2"/>
    </w:pPr>
    <w:rPr>
      <w:rFonts w:ascii="Arial" w:hAnsi="Arial" w:cs="Arial"/>
      <w:b/>
      <w:bCs/>
      <w:sz w:val="26"/>
      <w:szCs w:val="26"/>
    </w:rPr>
  </w:style>
  <w:style w:type="paragraph" w:styleId="Heading4">
    <w:name w:val="heading 4"/>
    <w:basedOn w:val="Normal"/>
    <w:next w:val="Normal"/>
    <w:qFormat/>
    <w:rsid w:val="00872533"/>
    <w:pPr>
      <w:keepNext/>
      <w:spacing w:before="240" w:after="60"/>
      <w:outlineLvl w:val="3"/>
    </w:pPr>
    <w:rPr>
      <w:b/>
      <w:bCs/>
      <w:sz w:val="28"/>
      <w:szCs w:val="28"/>
    </w:rPr>
  </w:style>
  <w:style w:type="paragraph" w:styleId="Heading5">
    <w:name w:val="heading 5"/>
    <w:basedOn w:val="Normal"/>
    <w:next w:val="Normal"/>
    <w:qFormat/>
    <w:rsid w:val="00872533"/>
    <w:pPr>
      <w:spacing w:before="240" w:after="60"/>
      <w:outlineLvl w:val="4"/>
    </w:pPr>
    <w:rPr>
      <w:b/>
      <w:bCs/>
      <w:i/>
      <w:iCs/>
      <w:sz w:val="26"/>
      <w:szCs w:val="26"/>
    </w:rPr>
  </w:style>
  <w:style w:type="paragraph" w:styleId="Heading6">
    <w:name w:val="heading 6"/>
    <w:basedOn w:val="Normal"/>
    <w:next w:val="Normal"/>
    <w:qFormat/>
    <w:rsid w:val="00872533"/>
    <w:pPr>
      <w:spacing w:before="240" w:after="60"/>
      <w:outlineLvl w:val="5"/>
    </w:pPr>
    <w:rPr>
      <w:b/>
      <w:bCs/>
      <w:sz w:val="22"/>
      <w:szCs w:val="22"/>
    </w:rPr>
  </w:style>
  <w:style w:type="paragraph" w:styleId="Heading7">
    <w:name w:val="heading 7"/>
    <w:basedOn w:val="Normal"/>
    <w:next w:val="Normal"/>
    <w:qFormat/>
    <w:rsid w:val="00872533"/>
    <w:pPr>
      <w:spacing w:before="240" w:after="60"/>
      <w:outlineLvl w:val="6"/>
    </w:pPr>
  </w:style>
  <w:style w:type="paragraph" w:styleId="Heading8">
    <w:name w:val="heading 8"/>
    <w:basedOn w:val="Normal"/>
    <w:next w:val="Normal"/>
    <w:qFormat/>
    <w:rsid w:val="00872533"/>
    <w:pPr>
      <w:spacing w:before="240" w:after="60"/>
      <w:outlineLvl w:val="7"/>
    </w:pPr>
    <w:rPr>
      <w:i/>
      <w:iCs/>
    </w:rPr>
  </w:style>
  <w:style w:type="paragraph" w:styleId="Heading9">
    <w:name w:val="heading 9"/>
    <w:basedOn w:val="Normal"/>
    <w:next w:val="Normal"/>
    <w:qFormat/>
    <w:rsid w:val="0087253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F073B0"/>
    <w:pPr>
      <w:jc w:val="both"/>
    </w:pPr>
  </w:style>
  <w:style w:type="paragraph" w:customStyle="1" w:styleId="Body12ptafter">
    <w:name w:val="Body 12pt after"/>
    <w:basedOn w:val="Normal"/>
    <w:rsid w:val="00F073B0"/>
    <w:pPr>
      <w:spacing w:after="240"/>
      <w:jc w:val="both"/>
    </w:pPr>
  </w:style>
  <w:style w:type="paragraph" w:customStyle="1" w:styleId="BodyDblSp">
    <w:name w:val="Body Dbl Sp"/>
    <w:basedOn w:val="Normal"/>
    <w:rsid w:val="00F073B0"/>
    <w:pPr>
      <w:spacing w:line="480" w:lineRule="auto"/>
    </w:pPr>
  </w:style>
  <w:style w:type="paragraph" w:customStyle="1" w:styleId="BodyDblSp5">
    <w:name w:val="Body Dbl Sp .5"/>
    <w:basedOn w:val="Normal"/>
    <w:rsid w:val="00F073B0"/>
    <w:pPr>
      <w:spacing w:line="480" w:lineRule="auto"/>
      <w:ind w:firstLine="720"/>
    </w:pPr>
  </w:style>
  <w:style w:type="paragraph" w:customStyle="1" w:styleId="BodyDblSp5J">
    <w:name w:val="Body Dbl Sp .5 J"/>
    <w:basedOn w:val="Normal"/>
    <w:rsid w:val="00F073B0"/>
    <w:pPr>
      <w:spacing w:line="480" w:lineRule="auto"/>
      <w:ind w:firstLine="720"/>
      <w:jc w:val="both"/>
    </w:pPr>
  </w:style>
  <w:style w:type="paragraph" w:customStyle="1" w:styleId="BodyDblSp1">
    <w:name w:val="Body Dbl Sp 1"/>
    <w:basedOn w:val="Normal"/>
    <w:rsid w:val="00F073B0"/>
    <w:pPr>
      <w:spacing w:line="480" w:lineRule="auto"/>
      <w:ind w:firstLine="1440"/>
    </w:pPr>
  </w:style>
  <w:style w:type="paragraph" w:customStyle="1" w:styleId="BodyDblSp1J">
    <w:name w:val="Body Dbl Sp 1 J"/>
    <w:basedOn w:val="Normal"/>
    <w:rsid w:val="00F073B0"/>
    <w:pPr>
      <w:spacing w:line="480" w:lineRule="auto"/>
      <w:ind w:firstLine="1440"/>
      <w:jc w:val="both"/>
    </w:pPr>
  </w:style>
  <w:style w:type="paragraph" w:customStyle="1" w:styleId="BodyDblSpJ">
    <w:name w:val="Body Dbl Sp J"/>
    <w:basedOn w:val="Normal"/>
    <w:rsid w:val="00F073B0"/>
    <w:pPr>
      <w:spacing w:line="480" w:lineRule="auto"/>
      <w:jc w:val="both"/>
    </w:pPr>
  </w:style>
  <w:style w:type="paragraph" w:customStyle="1" w:styleId="BodySingleSp5">
    <w:name w:val="Body Single Sp .5"/>
    <w:basedOn w:val="Normal"/>
    <w:rsid w:val="00F073B0"/>
    <w:pPr>
      <w:spacing w:after="240"/>
      <w:ind w:firstLine="720"/>
    </w:pPr>
  </w:style>
  <w:style w:type="paragraph" w:customStyle="1" w:styleId="BodySingleSp5J">
    <w:name w:val="Body Single Sp .5 J"/>
    <w:basedOn w:val="Normal"/>
    <w:rsid w:val="00F073B0"/>
    <w:pPr>
      <w:spacing w:after="240"/>
      <w:ind w:firstLine="720"/>
      <w:jc w:val="both"/>
    </w:pPr>
  </w:style>
  <w:style w:type="paragraph" w:customStyle="1" w:styleId="BodySingleSp1">
    <w:name w:val="Body Single Sp 1"/>
    <w:basedOn w:val="Normal"/>
    <w:rsid w:val="00F073B0"/>
    <w:pPr>
      <w:spacing w:after="240"/>
      <w:ind w:firstLine="1440"/>
    </w:pPr>
  </w:style>
  <w:style w:type="paragraph" w:customStyle="1" w:styleId="BodySingleSp1J">
    <w:name w:val="Body Single Sp 1 J"/>
    <w:basedOn w:val="Normal"/>
    <w:rsid w:val="00F073B0"/>
    <w:pPr>
      <w:spacing w:after="240"/>
      <w:ind w:firstLine="1440"/>
      <w:jc w:val="both"/>
    </w:pPr>
  </w:style>
  <w:style w:type="paragraph" w:customStyle="1" w:styleId="BodySingleSpJ">
    <w:name w:val="Body Single Sp J"/>
    <w:basedOn w:val="Normal"/>
    <w:rsid w:val="00F073B0"/>
    <w:pPr>
      <w:spacing w:after="240"/>
      <w:jc w:val="both"/>
    </w:pPr>
  </w:style>
  <w:style w:type="paragraph" w:styleId="Title">
    <w:name w:val="Title"/>
    <w:basedOn w:val="Normal"/>
    <w:next w:val="Body"/>
    <w:qFormat/>
    <w:rsid w:val="00872533"/>
    <w:pPr>
      <w:keepNext/>
      <w:spacing w:after="240"/>
      <w:jc w:val="center"/>
      <w:outlineLvl w:val="0"/>
    </w:pPr>
    <w:rPr>
      <w:rFonts w:cs="Arial"/>
      <w:b/>
      <w:bCs/>
    </w:rPr>
  </w:style>
  <w:style w:type="paragraph" w:customStyle="1" w:styleId="TitleBC">
    <w:name w:val="Title BC"/>
    <w:basedOn w:val="Normal"/>
    <w:next w:val="Body"/>
    <w:rsid w:val="00872533"/>
    <w:pPr>
      <w:keepNext/>
      <w:spacing w:after="240"/>
      <w:jc w:val="center"/>
      <w:outlineLvl w:val="0"/>
    </w:pPr>
    <w:rPr>
      <w:b/>
    </w:rPr>
  </w:style>
  <w:style w:type="paragraph" w:customStyle="1" w:styleId="TitleBCA">
    <w:name w:val="Title BCA"/>
    <w:basedOn w:val="Normal"/>
    <w:next w:val="Body"/>
    <w:rsid w:val="00872533"/>
    <w:pPr>
      <w:keepNext/>
      <w:spacing w:after="240"/>
      <w:jc w:val="center"/>
      <w:outlineLvl w:val="0"/>
    </w:pPr>
    <w:rPr>
      <w:b/>
      <w:caps/>
    </w:rPr>
  </w:style>
  <w:style w:type="paragraph" w:customStyle="1" w:styleId="TitleBL">
    <w:name w:val="Title BL"/>
    <w:basedOn w:val="Normal"/>
    <w:next w:val="Body"/>
    <w:rsid w:val="00872533"/>
    <w:pPr>
      <w:keepNext/>
      <w:spacing w:after="240"/>
      <w:outlineLvl w:val="0"/>
    </w:pPr>
    <w:rPr>
      <w:b/>
    </w:rPr>
  </w:style>
  <w:style w:type="paragraph" w:customStyle="1" w:styleId="TitleBUAC">
    <w:name w:val="Title BUAC"/>
    <w:basedOn w:val="Normal"/>
    <w:next w:val="Body"/>
    <w:rsid w:val="00872533"/>
    <w:pPr>
      <w:keepNext/>
      <w:spacing w:after="240"/>
      <w:jc w:val="center"/>
      <w:outlineLvl w:val="0"/>
    </w:pPr>
    <w:rPr>
      <w:b/>
      <w:caps/>
      <w:u w:val="single"/>
    </w:rPr>
  </w:style>
  <w:style w:type="paragraph" w:customStyle="1" w:styleId="TitleBUAL">
    <w:name w:val="Title BUAL"/>
    <w:basedOn w:val="Normal"/>
    <w:next w:val="Body"/>
    <w:rsid w:val="00872533"/>
    <w:pPr>
      <w:keepNext/>
      <w:spacing w:after="240"/>
      <w:outlineLvl w:val="0"/>
    </w:pPr>
    <w:rPr>
      <w:b/>
      <w:caps/>
      <w:u w:val="single"/>
    </w:rPr>
  </w:style>
  <w:style w:type="paragraph" w:customStyle="1" w:styleId="TitleBUC">
    <w:name w:val="Title BUC"/>
    <w:basedOn w:val="Normal"/>
    <w:next w:val="Body"/>
    <w:rsid w:val="00872533"/>
    <w:pPr>
      <w:keepNext/>
      <w:spacing w:after="240"/>
      <w:jc w:val="center"/>
      <w:outlineLvl w:val="0"/>
    </w:pPr>
    <w:rPr>
      <w:b/>
      <w:u w:val="single"/>
    </w:rPr>
  </w:style>
  <w:style w:type="paragraph" w:customStyle="1" w:styleId="TitleBUL">
    <w:name w:val="Title BUL"/>
    <w:basedOn w:val="Normal"/>
    <w:next w:val="Body"/>
    <w:rsid w:val="00872533"/>
    <w:pPr>
      <w:keepNext/>
      <w:spacing w:after="240"/>
      <w:outlineLvl w:val="0"/>
    </w:pPr>
    <w:rPr>
      <w:b/>
      <w:u w:val="single"/>
    </w:rPr>
  </w:style>
  <w:style w:type="paragraph" w:customStyle="1" w:styleId="TitleC">
    <w:name w:val="Title C"/>
    <w:basedOn w:val="Normal"/>
    <w:next w:val="Body"/>
    <w:rsid w:val="00872533"/>
    <w:pPr>
      <w:keepNext/>
      <w:spacing w:after="240"/>
      <w:jc w:val="center"/>
      <w:outlineLvl w:val="0"/>
    </w:pPr>
  </w:style>
  <w:style w:type="paragraph" w:customStyle="1" w:styleId="TitleL">
    <w:name w:val="Title L"/>
    <w:basedOn w:val="Normal"/>
    <w:next w:val="Body"/>
    <w:rsid w:val="00872533"/>
    <w:pPr>
      <w:keepNext/>
      <w:spacing w:after="240"/>
      <w:outlineLvl w:val="0"/>
    </w:pPr>
  </w:style>
  <w:style w:type="paragraph" w:customStyle="1" w:styleId="TitleUC">
    <w:name w:val="Title UC"/>
    <w:basedOn w:val="Normal"/>
    <w:next w:val="Body"/>
    <w:rsid w:val="00872533"/>
    <w:pPr>
      <w:keepNext/>
      <w:spacing w:after="240"/>
      <w:jc w:val="center"/>
      <w:outlineLvl w:val="0"/>
    </w:pPr>
    <w:rPr>
      <w:u w:val="single"/>
    </w:rPr>
  </w:style>
  <w:style w:type="paragraph" w:customStyle="1" w:styleId="TitleUL">
    <w:name w:val="Title UL"/>
    <w:basedOn w:val="Normal"/>
    <w:next w:val="Body"/>
    <w:rsid w:val="00872533"/>
    <w:pPr>
      <w:keepNext/>
      <w:spacing w:after="240"/>
      <w:outlineLvl w:val="0"/>
    </w:pPr>
    <w:rPr>
      <w:u w:val="single"/>
    </w:rPr>
  </w:style>
  <w:style w:type="table" w:styleId="TableGrid">
    <w:name w:val="Table Grid"/>
    <w:basedOn w:val="TableNormal"/>
    <w:semiHidden/>
    <w:rsid w:val="00872533"/>
    <w:tblPr>
      <w:tblInd w:w="0" w:type="dxa"/>
      <w:tblCellMar>
        <w:top w:w="0" w:type="dxa"/>
        <w:left w:w="108" w:type="dxa"/>
        <w:bottom w:w="0" w:type="dxa"/>
        <w:right w:w="108" w:type="dxa"/>
      </w:tblCellMar>
    </w:tblPr>
  </w:style>
  <w:style w:type="paragraph" w:customStyle="1" w:styleId="Quote55">
    <w:name w:val="Quote .5/.5"/>
    <w:basedOn w:val="Normal"/>
    <w:next w:val="Body"/>
    <w:rsid w:val="00872533"/>
    <w:pPr>
      <w:spacing w:after="240"/>
      <w:ind w:left="720" w:right="720"/>
    </w:pPr>
  </w:style>
  <w:style w:type="paragraph" w:customStyle="1" w:styleId="Quote55J">
    <w:name w:val="Quote .5/.5 J"/>
    <w:basedOn w:val="Normal"/>
    <w:next w:val="Body"/>
    <w:rsid w:val="00872533"/>
    <w:pPr>
      <w:spacing w:after="240"/>
      <w:ind w:left="720" w:right="720"/>
      <w:jc w:val="both"/>
    </w:pPr>
  </w:style>
  <w:style w:type="paragraph" w:customStyle="1" w:styleId="Quote11">
    <w:name w:val="Quote 1/1"/>
    <w:basedOn w:val="Normal"/>
    <w:next w:val="Body"/>
    <w:rsid w:val="00872533"/>
    <w:pPr>
      <w:spacing w:after="240"/>
      <w:ind w:left="1440" w:right="1440"/>
    </w:pPr>
  </w:style>
  <w:style w:type="paragraph" w:customStyle="1" w:styleId="Quote11J">
    <w:name w:val="Quote 1/1 J"/>
    <w:basedOn w:val="Normal"/>
    <w:next w:val="Body"/>
    <w:rsid w:val="00872533"/>
    <w:pPr>
      <w:spacing w:after="240"/>
      <w:ind w:left="1440" w:right="1440"/>
      <w:jc w:val="both"/>
    </w:pPr>
  </w:style>
  <w:style w:type="paragraph" w:styleId="Signature">
    <w:name w:val="Signature"/>
    <w:basedOn w:val="Normal"/>
    <w:rsid w:val="00872533"/>
    <w:pPr>
      <w:tabs>
        <w:tab w:val="left" w:pos="4824"/>
        <w:tab w:val="right" w:leader="underscore" w:pos="9360"/>
      </w:tabs>
      <w:ind w:left="4320"/>
    </w:pPr>
  </w:style>
  <w:style w:type="paragraph" w:styleId="Subtitle">
    <w:name w:val="Subtitle"/>
    <w:basedOn w:val="Normal"/>
    <w:qFormat/>
    <w:rsid w:val="00872533"/>
    <w:pPr>
      <w:spacing w:after="240"/>
      <w:jc w:val="center"/>
    </w:pPr>
    <w:rPr>
      <w:rFonts w:cs="Arial"/>
    </w:rPr>
  </w:style>
  <w:style w:type="paragraph" w:styleId="BodyText2">
    <w:name w:val="Body Text 2"/>
    <w:basedOn w:val="Normal"/>
    <w:semiHidden/>
    <w:rsid w:val="00872533"/>
    <w:pPr>
      <w:spacing w:after="120" w:line="480" w:lineRule="auto"/>
    </w:pPr>
  </w:style>
  <w:style w:type="paragraph" w:styleId="BodyText3">
    <w:name w:val="Body Text 3"/>
    <w:basedOn w:val="Normal"/>
    <w:semiHidden/>
    <w:rsid w:val="00872533"/>
    <w:pPr>
      <w:spacing w:after="120"/>
    </w:pPr>
    <w:rPr>
      <w:sz w:val="16"/>
      <w:szCs w:val="16"/>
    </w:rPr>
  </w:style>
  <w:style w:type="paragraph" w:styleId="BodyText">
    <w:name w:val="Body Text"/>
    <w:basedOn w:val="Normal"/>
    <w:rsid w:val="008949DB"/>
    <w:pPr>
      <w:spacing w:after="240"/>
      <w:ind w:firstLine="720"/>
    </w:pPr>
  </w:style>
  <w:style w:type="paragraph" w:styleId="BodyTextFirstIndent">
    <w:name w:val="Body Text First Indent"/>
    <w:basedOn w:val="BodyText"/>
    <w:semiHidden/>
    <w:rsid w:val="00872533"/>
    <w:pPr>
      <w:ind w:firstLine="210"/>
    </w:pPr>
  </w:style>
  <w:style w:type="paragraph" w:styleId="BodyTextIndent">
    <w:name w:val="Body Text Indent"/>
    <w:basedOn w:val="Normal"/>
    <w:semiHidden/>
    <w:rsid w:val="00872533"/>
    <w:pPr>
      <w:spacing w:after="120"/>
      <w:ind w:left="360"/>
    </w:pPr>
  </w:style>
  <w:style w:type="paragraph" w:styleId="BodyTextFirstIndent2">
    <w:name w:val="Body Text First Indent 2"/>
    <w:basedOn w:val="BodyTextIndent"/>
    <w:semiHidden/>
    <w:rsid w:val="00872533"/>
    <w:pPr>
      <w:ind w:firstLine="210"/>
    </w:pPr>
  </w:style>
  <w:style w:type="paragraph" w:styleId="BodyTextIndent2">
    <w:name w:val="Body Text Indent 2"/>
    <w:basedOn w:val="Normal"/>
    <w:semiHidden/>
    <w:rsid w:val="00872533"/>
    <w:pPr>
      <w:spacing w:after="120" w:line="480" w:lineRule="auto"/>
      <w:ind w:left="360"/>
    </w:pPr>
  </w:style>
  <w:style w:type="paragraph" w:styleId="BodyTextIndent3">
    <w:name w:val="Body Text Indent 3"/>
    <w:basedOn w:val="Normal"/>
    <w:semiHidden/>
    <w:rsid w:val="00872533"/>
    <w:pPr>
      <w:spacing w:after="120"/>
      <w:ind w:left="360"/>
    </w:pPr>
    <w:rPr>
      <w:sz w:val="16"/>
      <w:szCs w:val="16"/>
    </w:rPr>
  </w:style>
  <w:style w:type="character" w:styleId="FootnoteReference">
    <w:name w:val="footnote reference"/>
    <w:basedOn w:val="DefaultParagraphFont"/>
    <w:rsid w:val="00872533"/>
    <w:rPr>
      <w:rFonts w:cs="Times New Roman"/>
      <w:vertAlign w:val="superscript"/>
    </w:rPr>
  </w:style>
  <w:style w:type="paragraph" w:styleId="FootnoteText">
    <w:name w:val="footnote text"/>
    <w:basedOn w:val="Normal"/>
    <w:rsid w:val="0066719B"/>
    <w:pPr>
      <w:spacing w:after="120"/>
      <w:jc w:val="both"/>
    </w:pPr>
    <w:rPr>
      <w:sz w:val="20"/>
      <w:szCs w:val="20"/>
    </w:rPr>
  </w:style>
  <w:style w:type="character" w:styleId="HTMLAcronym">
    <w:name w:val="HTML Acronym"/>
    <w:basedOn w:val="DefaultParagraphFont"/>
    <w:semiHidden/>
    <w:rsid w:val="00872533"/>
    <w:rPr>
      <w:rFonts w:cs="Times New Roman"/>
    </w:rPr>
  </w:style>
  <w:style w:type="paragraph" w:styleId="HTMLAddress">
    <w:name w:val="HTML Address"/>
    <w:basedOn w:val="Normal"/>
    <w:semiHidden/>
    <w:rsid w:val="00872533"/>
    <w:rPr>
      <w:i/>
      <w:iCs/>
    </w:rPr>
  </w:style>
  <w:style w:type="character" w:styleId="HTMLCite">
    <w:name w:val="HTML Cite"/>
    <w:basedOn w:val="DefaultParagraphFont"/>
    <w:semiHidden/>
    <w:rsid w:val="00872533"/>
    <w:rPr>
      <w:rFonts w:cs="Times New Roman"/>
      <w:i/>
      <w:iCs/>
    </w:rPr>
  </w:style>
  <w:style w:type="character" w:styleId="HTMLCode">
    <w:name w:val="HTML Code"/>
    <w:basedOn w:val="DefaultParagraphFont"/>
    <w:semiHidden/>
    <w:rsid w:val="00872533"/>
    <w:rPr>
      <w:rFonts w:ascii="Courier New" w:hAnsi="Courier New" w:cs="Courier New"/>
      <w:sz w:val="20"/>
      <w:szCs w:val="20"/>
    </w:rPr>
  </w:style>
  <w:style w:type="character" w:styleId="HTMLDefinition">
    <w:name w:val="HTML Definition"/>
    <w:basedOn w:val="DefaultParagraphFont"/>
    <w:semiHidden/>
    <w:rsid w:val="00872533"/>
    <w:rPr>
      <w:rFonts w:cs="Times New Roman"/>
      <w:i/>
      <w:iCs/>
    </w:rPr>
  </w:style>
  <w:style w:type="character" w:styleId="HTMLKeyboard">
    <w:name w:val="HTML Keyboard"/>
    <w:basedOn w:val="DefaultParagraphFont"/>
    <w:semiHidden/>
    <w:rsid w:val="00872533"/>
    <w:rPr>
      <w:rFonts w:ascii="Courier New" w:hAnsi="Courier New" w:cs="Courier New"/>
      <w:sz w:val="20"/>
      <w:szCs w:val="20"/>
    </w:rPr>
  </w:style>
  <w:style w:type="paragraph" w:styleId="HTMLPreformatted">
    <w:name w:val="HTML Preformatted"/>
    <w:basedOn w:val="Normal"/>
    <w:semiHidden/>
    <w:rsid w:val="00872533"/>
    <w:rPr>
      <w:rFonts w:ascii="Courier New" w:hAnsi="Courier New" w:cs="Courier New"/>
      <w:sz w:val="20"/>
      <w:szCs w:val="20"/>
    </w:rPr>
  </w:style>
  <w:style w:type="character" w:styleId="HTMLSample">
    <w:name w:val="HTML Sample"/>
    <w:basedOn w:val="DefaultParagraphFont"/>
    <w:semiHidden/>
    <w:rsid w:val="00872533"/>
    <w:rPr>
      <w:rFonts w:ascii="Courier New" w:hAnsi="Courier New" w:cs="Courier New"/>
    </w:rPr>
  </w:style>
  <w:style w:type="character" w:styleId="HTMLTypewriter">
    <w:name w:val="HTML Typewriter"/>
    <w:basedOn w:val="DefaultParagraphFont"/>
    <w:semiHidden/>
    <w:rsid w:val="00872533"/>
    <w:rPr>
      <w:rFonts w:ascii="Courier New" w:hAnsi="Courier New" w:cs="Courier New"/>
      <w:sz w:val="20"/>
      <w:szCs w:val="20"/>
    </w:rPr>
  </w:style>
  <w:style w:type="character" w:styleId="HTMLVariable">
    <w:name w:val="HTML Variable"/>
    <w:basedOn w:val="DefaultParagraphFont"/>
    <w:semiHidden/>
    <w:rsid w:val="00872533"/>
    <w:rPr>
      <w:rFonts w:cs="Times New Roman"/>
      <w:i/>
      <w:iCs/>
    </w:rPr>
  </w:style>
  <w:style w:type="character" w:styleId="LineNumber">
    <w:name w:val="line number"/>
    <w:basedOn w:val="DefaultParagraphFont"/>
    <w:semiHidden/>
    <w:rsid w:val="00872533"/>
    <w:rPr>
      <w:rFonts w:cs="Times New Roman"/>
    </w:rPr>
  </w:style>
  <w:style w:type="paragraph" w:styleId="List">
    <w:name w:val="List"/>
    <w:basedOn w:val="Normal"/>
    <w:semiHidden/>
    <w:rsid w:val="00872533"/>
    <w:pPr>
      <w:ind w:left="360" w:hanging="360"/>
    </w:pPr>
  </w:style>
  <w:style w:type="paragraph" w:styleId="List2">
    <w:name w:val="List 2"/>
    <w:basedOn w:val="Normal"/>
    <w:semiHidden/>
    <w:rsid w:val="00872533"/>
    <w:pPr>
      <w:ind w:left="720" w:hanging="360"/>
    </w:pPr>
  </w:style>
  <w:style w:type="paragraph" w:styleId="List3">
    <w:name w:val="List 3"/>
    <w:basedOn w:val="Normal"/>
    <w:semiHidden/>
    <w:rsid w:val="00872533"/>
    <w:pPr>
      <w:ind w:left="1080" w:hanging="360"/>
    </w:pPr>
  </w:style>
  <w:style w:type="paragraph" w:styleId="List4">
    <w:name w:val="List 4"/>
    <w:basedOn w:val="Normal"/>
    <w:semiHidden/>
    <w:rsid w:val="00872533"/>
    <w:pPr>
      <w:ind w:left="1440" w:hanging="360"/>
    </w:pPr>
  </w:style>
  <w:style w:type="paragraph" w:styleId="List5">
    <w:name w:val="List 5"/>
    <w:basedOn w:val="Normal"/>
    <w:semiHidden/>
    <w:rsid w:val="00872533"/>
    <w:pPr>
      <w:ind w:left="1800" w:hanging="360"/>
    </w:pPr>
  </w:style>
  <w:style w:type="paragraph" w:styleId="ListBullet">
    <w:name w:val="List Bullet"/>
    <w:basedOn w:val="Normal"/>
    <w:semiHidden/>
    <w:rsid w:val="00872533"/>
    <w:pPr>
      <w:numPr>
        <w:numId w:val="11"/>
      </w:numPr>
    </w:pPr>
  </w:style>
  <w:style w:type="paragraph" w:styleId="ListBullet2">
    <w:name w:val="List Bullet 2"/>
    <w:basedOn w:val="Normal"/>
    <w:semiHidden/>
    <w:rsid w:val="00872533"/>
    <w:pPr>
      <w:numPr>
        <w:numId w:val="12"/>
      </w:numPr>
    </w:pPr>
  </w:style>
  <w:style w:type="paragraph" w:styleId="ListBullet3">
    <w:name w:val="List Bullet 3"/>
    <w:basedOn w:val="Normal"/>
    <w:semiHidden/>
    <w:rsid w:val="00872533"/>
    <w:pPr>
      <w:numPr>
        <w:numId w:val="13"/>
      </w:numPr>
    </w:pPr>
  </w:style>
  <w:style w:type="paragraph" w:styleId="ListBullet4">
    <w:name w:val="List Bullet 4"/>
    <w:basedOn w:val="Normal"/>
    <w:semiHidden/>
    <w:rsid w:val="00872533"/>
    <w:pPr>
      <w:numPr>
        <w:numId w:val="14"/>
      </w:numPr>
    </w:pPr>
  </w:style>
  <w:style w:type="paragraph" w:styleId="ListBullet5">
    <w:name w:val="List Bullet 5"/>
    <w:basedOn w:val="Normal"/>
    <w:semiHidden/>
    <w:rsid w:val="00872533"/>
    <w:pPr>
      <w:numPr>
        <w:numId w:val="15"/>
      </w:numPr>
    </w:pPr>
  </w:style>
  <w:style w:type="paragraph" w:styleId="ListContinue">
    <w:name w:val="List Continue"/>
    <w:basedOn w:val="Normal"/>
    <w:semiHidden/>
    <w:rsid w:val="00872533"/>
    <w:pPr>
      <w:spacing w:after="120"/>
      <w:ind w:left="360"/>
    </w:pPr>
  </w:style>
  <w:style w:type="paragraph" w:styleId="ListContinue2">
    <w:name w:val="List Continue 2"/>
    <w:basedOn w:val="Normal"/>
    <w:semiHidden/>
    <w:rsid w:val="00872533"/>
    <w:pPr>
      <w:spacing w:after="120"/>
      <w:ind w:left="720"/>
    </w:pPr>
  </w:style>
  <w:style w:type="paragraph" w:styleId="ListContinue3">
    <w:name w:val="List Continue 3"/>
    <w:basedOn w:val="Normal"/>
    <w:semiHidden/>
    <w:rsid w:val="00872533"/>
    <w:pPr>
      <w:spacing w:after="120"/>
      <w:ind w:left="1080"/>
    </w:pPr>
  </w:style>
  <w:style w:type="paragraph" w:styleId="ListContinue4">
    <w:name w:val="List Continue 4"/>
    <w:basedOn w:val="Normal"/>
    <w:semiHidden/>
    <w:rsid w:val="00872533"/>
    <w:pPr>
      <w:spacing w:after="120"/>
      <w:ind w:left="1440"/>
    </w:pPr>
  </w:style>
  <w:style w:type="paragraph" w:styleId="ListContinue5">
    <w:name w:val="List Continue 5"/>
    <w:basedOn w:val="Normal"/>
    <w:semiHidden/>
    <w:rsid w:val="00872533"/>
    <w:pPr>
      <w:spacing w:after="120"/>
      <w:ind w:left="1800"/>
    </w:pPr>
  </w:style>
  <w:style w:type="paragraph" w:styleId="ListNumber">
    <w:name w:val="List Number"/>
    <w:basedOn w:val="Normal"/>
    <w:semiHidden/>
    <w:rsid w:val="00872533"/>
    <w:pPr>
      <w:numPr>
        <w:numId w:val="16"/>
      </w:numPr>
    </w:pPr>
  </w:style>
  <w:style w:type="paragraph" w:styleId="ListNumber2">
    <w:name w:val="List Number 2"/>
    <w:basedOn w:val="Normal"/>
    <w:semiHidden/>
    <w:rsid w:val="00872533"/>
    <w:pPr>
      <w:numPr>
        <w:numId w:val="17"/>
      </w:numPr>
    </w:pPr>
  </w:style>
  <w:style w:type="paragraph" w:styleId="ListNumber3">
    <w:name w:val="List Number 3"/>
    <w:basedOn w:val="Normal"/>
    <w:semiHidden/>
    <w:rsid w:val="00872533"/>
    <w:pPr>
      <w:numPr>
        <w:numId w:val="18"/>
      </w:numPr>
    </w:pPr>
  </w:style>
  <w:style w:type="paragraph" w:styleId="ListNumber4">
    <w:name w:val="List Number 4"/>
    <w:basedOn w:val="Normal"/>
    <w:semiHidden/>
    <w:rsid w:val="00872533"/>
    <w:pPr>
      <w:numPr>
        <w:numId w:val="19"/>
      </w:numPr>
    </w:pPr>
  </w:style>
  <w:style w:type="paragraph" w:styleId="ListNumber5">
    <w:name w:val="List Number 5"/>
    <w:basedOn w:val="Normal"/>
    <w:semiHidden/>
    <w:rsid w:val="00872533"/>
    <w:pPr>
      <w:numPr>
        <w:numId w:val="20"/>
      </w:numPr>
    </w:pPr>
  </w:style>
  <w:style w:type="paragraph" w:styleId="NormalWeb">
    <w:name w:val="Normal (Web)"/>
    <w:basedOn w:val="Normal"/>
    <w:semiHidden/>
    <w:rsid w:val="00872533"/>
  </w:style>
  <w:style w:type="paragraph" w:styleId="NormalIndent">
    <w:name w:val="Normal Indent"/>
    <w:basedOn w:val="Normal"/>
    <w:semiHidden/>
    <w:rsid w:val="00872533"/>
    <w:pPr>
      <w:ind w:left="720"/>
    </w:pPr>
  </w:style>
  <w:style w:type="paragraph" w:styleId="NoteHeading">
    <w:name w:val="Note Heading"/>
    <w:basedOn w:val="Normal"/>
    <w:next w:val="Normal"/>
    <w:semiHidden/>
    <w:rsid w:val="00872533"/>
  </w:style>
  <w:style w:type="character" w:styleId="Strong">
    <w:name w:val="Strong"/>
    <w:basedOn w:val="DefaultParagraphFont"/>
    <w:qFormat/>
    <w:rsid w:val="00872533"/>
    <w:rPr>
      <w:rFonts w:cs="Times New Roman"/>
      <w:b/>
      <w:bCs/>
    </w:rPr>
  </w:style>
  <w:style w:type="table" w:styleId="Table3Deffects1">
    <w:name w:val="Table 3D effects 1"/>
    <w:basedOn w:val="TableNormal"/>
    <w:semiHidden/>
    <w:rsid w:val="00872533"/>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72533"/>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semiHidden/>
    <w:rsid w:val="00872533"/>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semiHidden/>
    <w:rsid w:val="00872533"/>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semiHidden/>
    <w:rsid w:val="00872533"/>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72533"/>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72533"/>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72533"/>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72533"/>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72533"/>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7253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semiHidden/>
    <w:rsid w:val="00872533"/>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semiHidden/>
    <w:rsid w:val="0087253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semiHidden/>
    <w:rsid w:val="00872533"/>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semiHidden/>
    <w:rsid w:val="00872533"/>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semiHidden/>
    <w:rsid w:val="0087253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72533"/>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semiHidden/>
    <w:rsid w:val="0087253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semiHidden/>
    <w:rsid w:val="00872533"/>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semiHidden/>
    <w:rsid w:val="00872533"/>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semiHidden/>
    <w:rsid w:val="00872533"/>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72533"/>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semiHidden/>
    <w:rsid w:val="00872533"/>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semiHidden/>
    <w:rsid w:val="00872533"/>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semiHidden/>
    <w:rsid w:val="00872533"/>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72533"/>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semiHidden/>
    <w:rsid w:val="00872533"/>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semiHidden/>
    <w:rsid w:val="00872533"/>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72533"/>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72533"/>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semiHidden/>
    <w:rsid w:val="00872533"/>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72533"/>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72533"/>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7253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72533"/>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72533"/>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72533"/>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72533"/>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semiHidden/>
    <w:rsid w:val="0087253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semiHidden/>
    <w:rsid w:val="008725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72533"/>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semiHidden/>
    <w:rsid w:val="0087253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semiHidden/>
    <w:rsid w:val="0087253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Header">
    <w:name w:val="header"/>
    <w:basedOn w:val="Normal"/>
    <w:rsid w:val="008949DB"/>
    <w:pPr>
      <w:tabs>
        <w:tab w:val="center" w:pos="4680"/>
        <w:tab w:val="right" w:pos="9360"/>
      </w:tabs>
    </w:pPr>
  </w:style>
  <w:style w:type="paragraph" w:styleId="Footer">
    <w:name w:val="footer"/>
    <w:basedOn w:val="Normal"/>
    <w:rsid w:val="008949DB"/>
    <w:pPr>
      <w:tabs>
        <w:tab w:val="center" w:pos="4680"/>
        <w:tab w:val="right" w:pos="9360"/>
      </w:tabs>
    </w:pPr>
  </w:style>
  <w:style w:type="paragraph" w:styleId="Quote">
    <w:name w:val="Quote"/>
    <w:basedOn w:val="Normal"/>
    <w:next w:val="BodyTextContinued"/>
    <w:qFormat/>
    <w:rsid w:val="008949DB"/>
    <w:pPr>
      <w:spacing w:after="240"/>
      <w:ind w:left="1440" w:right="1440"/>
    </w:pPr>
    <w:rPr>
      <w:szCs w:val="20"/>
    </w:rPr>
  </w:style>
  <w:style w:type="paragraph" w:customStyle="1" w:styleId="BodyTextContinued">
    <w:name w:val="Body Text Continued"/>
    <w:basedOn w:val="BodyText"/>
    <w:next w:val="BodyText"/>
    <w:rsid w:val="008949DB"/>
    <w:pPr>
      <w:ind w:firstLine="0"/>
    </w:pPr>
    <w:rPr>
      <w:szCs w:val="20"/>
    </w:rPr>
  </w:style>
  <w:style w:type="character" w:styleId="PageNumber">
    <w:name w:val="page number"/>
    <w:basedOn w:val="DefaultParagraphFont"/>
    <w:rsid w:val="008949DB"/>
    <w:rPr>
      <w:rFonts w:cs="Times New Roman"/>
    </w:rPr>
  </w:style>
  <w:style w:type="character" w:customStyle="1" w:styleId="zzmpTrailerItem">
    <w:name w:val="zzmpTrailerItem"/>
    <w:basedOn w:val="DefaultParagraphFont"/>
    <w:rsid w:val="00F75875"/>
    <w:rPr>
      <w:rFonts w:ascii="Times New Roman" w:hAnsi="Times New Roman" w:cs="Times New Roman"/>
      <w:bCs/>
      <w:noProof/>
      <w:color w:val="auto"/>
      <w:spacing w:val="0"/>
      <w:position w:val="0"/>
      <w:sz w:val="16"/>
      <w:u w:val="none"/>
      <w:effect w:val="none"/>
      <w:vertAlign w:val="baseline"/>
    </w:rPr>
  </w:style>
  <w:style w:type="character" w:styleId="Hyperlink">
    <w:name w:val="Hyperlink"/>
    <w:basedOn w:val="DefaultParagraphFont"/>
    <w:rsid w:val="00F75875"/>
    <w:rPr>
      <w:rFonts w:cs="Times New Roman"/>
      <w:color w:val="0000FF"/>
      <w:u w:val="single"/>
    </w:rPr>
  </w:style>
  <w:style w:type="paragraph" w:styleId="BalloonText">
    <w:name w:val="Balloon Text"/>
    <w:basedOn w:val="Normal"/>
    <w:semiHidden/>
    <w:rsid w:val="00071C0A"/>
    <w:rPr>
      <w:rFonts w:ascii="Tahoma" w:hAnsi="Tahoma" w:cs="Tahoma"/>
      <w:sz w:val="16"/>
      <w:szCs w:val="16"/>
    </w:rPr>
  </w:style>
  <w:style w:type="numbering" w:styleId="ArticleSection">
    <w:name w:val="Outline List 3"/>
    <w:basedOn w:val="NoList"/>
    <w:rsid w:val="00071C0A"/>
    <w:pPr>
      <w:numPr>
        <w:numId w:val="33"/>
      </w:numPr>
    </w:pPr>
  </w:style>
  <w:style w:type="numbering" w:styleId="111111">
    <w:name w:val="Outline List 2"/>
    <w:basedOn w:val="NoList"/>
    <w:rsid w:val="00071C0A"/>
    <w:pPr>
      <w:numPr>
        <w:numId w:val="31"/>
      </w:numPr>
    </w:pPr>
  </w:style>
  <w:style w:type="numbering" w:styleId="1ai">
    <w:name w:val="Outline List 1"/>
    <w:basedOn w:val="NoList"/>
    <w:rsid w:val="00071C0A"/>
    <w:pPr>
      <w:numPr>
        <w:numId w:val="32"/>
      </w:numPr>
    </w:pPr>
  </w:style>
  <w:style w:type="character" w:customStyle="1" w:styleId="DocID">
    <w:name w:val="DocID"/>
    <w:basedOn w:val="DefaultParagraphFont"/>
    <w:rsid w:val="00B85B33"/>
    <w:rPr>
      <w:b w:val="0"/>
      <w:i w:val="0"/>
      <w:vanish w:val="0"/>
      <w:color w:val="auto"/>
      <w:sz w:val="16"/>
      <w:u w:val="none"/>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estlaw.com/Find/Default.wl?rs=dfa1.0&amp;vr=2.0&amp;DB=1000006&amp;DocName=FLSTS713.10&amp;FindType=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1560</Words>
  <Characters>7774</Characters>
  <Application>Microsoft Office Word</Application>
  <DocSecurity>0</DocSecurity>
  <Lines>222</Lines>
  <Paragraphs>121</Paragraphs>
  <ScaleCrop>false</ScaleCrop>
  <HeadingPairs>
    <vt:vector size="2" baseType="variant">
      <vt:variant>
        <vt:lpstr>Title</vt:lpstr>
      </vt:variant>
      <vt:variant>
        <vt:i4>1</vt:i4>
      </vt:variant>
    </vt:vector>
  </HeadingPairs>
  <TitlesOfParts>
    <vt:vector size="1" baseType="lpstr">
      <vt:lpstr>XP Image Normal</vt:lpstr>
    </vt:vector>
  </TitlesOfParts>
  <LinksUpToDate>false</LinksUpToDate>
  <CharactersWithSpaces>9213</CharactersWithSpaces>
  <SharedDoc>false</SharedDoc>
  <HLinks>
    <vt:vector size="6" baseType="variant">
      <vt:variant>
        <vt:i4>4325378</vt:i4>
      </vt:variant>
      <vt:variant>
        <vt:i4>0</vt:i4>
      </vt:variant>
      <vt:variant>
        <vt:i4>0</vt:i4>
      </vt:variant>
      <vt:variant>
        <vt:i4>5</vt:i4>
      </vt:variant>
      <vt:variant>
        <vt:lpwstr>http://www.westlaw.com/Find/Default.wl?rs=dfa1.0&amp;vr=2.0&amp;DB=1000006&amp;DocName=FLSTS713.10&amp;FindType=L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XP Image Normal</dc:title>
  <dc:subject> </dc:subject>
  <dc:creator/>
  <cp:keywords/>
  <cp:lastModifiedBy/>
  <cp:revision>1</cp:revision>
  <dcterms:created xsi:type="dcterms:W3CDTF">2011-10-28T14:09:00Z</dcterms:created>
  <dcterms:modified xsi:type="dcterms:W3CDTF">2011-10-28T14:09:00Z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21313687.2</vt:lpwstr>
  </property>
</Properties>
</file>