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body>
    <w:p>
      <w:pPr>
        <w:jc w:val="center"/>
        <w:rPr>
          <w:b/>
          <w:sz w:val="28"/>
          <w:szCs w:val="28"/>
        </w:rPr>
      </w:pPr>
      <w:r>
        <w:rPr>
          <w:b/>
          <w:sz w:val="28"/>
          <w:szCs w:val="28"/>
        </w:rPr>
        <w:t>LANDLORD-TENANT COMMITTEE</w:t>
      </w:r>
    </w:p>
    <w:p>
      <w:pPr>
        <w:jc w:val="center"/>
        <w:rPr>
          <w:b/>
        </w:rPr>
      </w:pPr>
      <w:r>
        <w:rPr>
          <w:b/>
        </w:rPr>
        <w:t>Memorandum of Committee Minutes</w:t>
      </w:r>
    </w:p>
    <w:p/>
    <w:p>
      <w:r>
        <w:t>TO:</w:t>
      </w:r>
      <w:r>
        <w:tab/>
      </w:r>
      <w:r>
        <w:tab/>
        <w:t>All Landlord Tenant Committee Members</w:t>
      </w:r>
    </w:p>
    <w:p>
      <w:r>
        <w:tab/>
      </w:r>
      <w:r>
        <w:tab/>
        <w:t>The Florida Bar – Real Property, Probate and Trust Law Section</w:t>
      </w:r>
    </w:p>
    <w:p/>
    <w:p>
      <w:r>
        <w:t>FROM:</w:t>
      </w:r>
      <w:r>
        <w:tab/>
        <w:t>Brenda Ezell, Secretary</w:t>
      </w:r>
    </w:p>
    <w:p/>
    <w:p>
      <w:r>
        <w:t>RE:</w:t>
      </w:r>
      <w:r>
        <w:tab/>
      </w:r>
      <w:r>
        <w:tab/>
        <w:t>February 24, 2012 Meeting Minutes</w:t>
      </w:r>
    </w:p>
    <w:p>
      <w:r>
        <w:t>_______________________________________________________________________</w:t>
      </w:r>
    </w:p>
    <w:p/>
    <w:p>
      <w:pPr>
        <w:jc w:val="both"/>
      </w:pPr>
      <w:r>
        <w:t xml:space="preserve">The Committee Chair, Neil Shoter, convened the teleconference at 3:30 PM.  </w:t>
      </w:r>
    </w:p>
    <w:p>
      <w:pPr>
        <w:jc w:val="both"/>
      </w:pPr>
    </w:p>
    <w:p>
      <w:pPr>
        <w:jc w:val="both"/>
      </w:pPr>
      <w:r>
        <w:t>Those attending the meeting via telephone conference were: Beverly Barnett; Alberto Cardet; Rick Eckhart; Brenda Ezell; Manuel Farach; Scott Frank; Lloyd Granet; Michael Grant; Gregory Haney; Phyllis Harley; Anthony Horky; Charles Klug; Jeffrey Mazor; John Neukamm; and Les Stevens.</w:t>
      </w:r>
    </w:p>
    <w:p>
      <w:pPr>
        <w:jc w:val="both"/>
      </w:pPr>
    </w:p>
    <w:p>
      <w:pPr>
        <w:jc w:val="both"/>
      </w:pPr>
      <w:r>
        <w:t xml:space="preserve">The minutes for the committee meeting of December 1, 2011 were presented for approval and were approved without objection. </w:t>
      </w:r>
    </w:p>
    <w:p>
      <w:pPr>
        <w:jc w:val="both"/>
      </w:pPr>
    </w:p>
    <w:p>
      <w:pPr>
        <w:jc w:val="both"/>
      </w:pPr>
      <w:r>
        <w:rPr>
          <w:b/>
        </w:rPr>
        <w:t>I.</w:t>
      </w:r>
      <w:r>
        <w:rPr>
          <w:b/>
        </w:rPr>
        <w:tab/>
        <w:t>WELCOME AND INTRODUCTION:</w:t>
      </w:r>
      <w:r>
        <w:t xml:space="preserve">  Neil Shoter welcomed committee members to the first meeting of the year.    </w:t>
      </w:r>
    </w:p>
    <w:p>
      <w:pPr>
        <w:jc w:val="both"/>
      </w:pPr>
    </w:p>
    <w:p>
      <w:pPr>
        <w:jc w:val="both"/>
      </w:pPr>
      <w:r>
        <w:rPr>
          <w:b/>
        </w:rPr>
        <w:t>II.</w:t>
      </w:r>
      <w:r>
        <w:rPr>
          <w:b/>
        </w:rPr>
        <w:tab/>
        <w:t>CHAIR REPORT:</w:t>
      </w:r>
      <w:r>
        <w:t xml:space="preserve">  </w:t>
      </w:r>
    </w:p>
    <w:p>
      <w:pPr>
        <w:jc w:val="both"/>
      </w:pPr>
    </w:p>
    <w:p>
      <w:pPr>
        <w:jc w:val="both"/>
      </w:pPr>
      <w:r>
        <w:t>Mr. Shoter announced that for the first time the listserve has reached 80 members, and he thanked the committee members for recommending colleagues continue join.  He announced that Chuck Hoskins has received the Bar News President’s pro bono award.  Mr. Shoter also referenced an email he forwarded to the committee from the Bar about attorney use of social media sites and how lawyer advertising rules relate to social media.  He stated that we should be hearing more about his from the Bar in the near future.</w:t>
      </w:r>
    </w:p>
    <w:p>
      <w:pPr>
        <w:jc w:val="both"/>
      </w:pPr>
    </w:p>
    <w:p>
      <w:pPr>
        <w:jc w:val="both"/>
      </w:pPr>
      <w:r>
        <w:t>Mr. Shoter also announced that he received notice through the Bar that a clerk in Collier County discovered an out of date reference in the residential eviction forms.  The Supreme Court approved the forms and 5 years ago our committee was asked to update the forms. The issue is that the residential eviction summons is out of date by change of rule 1.923.  Some committee members have provided input.  The form was further changed by case law in 2010.  He stated that the committee will be looking into this issue, so for those who gave input, it would be passed up to the Bar to have this corrected.</w:t>
      </w:r>
    </w:p>
    <w:p>
      <w:pPr>
        <w:jc w:val="both"/>
      </w:pPr>
    </w:p>
    <w:p>
      <w:pPr>
        <w:jc w:val="both"/>
      </w:pPr>
      <w:r>
        <w:t xml:space="preserve">Mr. Shoter advised the committee that, as we get to last meeting before end of fiscal year, he will be seeking input from members about the committee and how it can provide greater value.  He would like to solidify the subcommittees, both on legislative side and </w:t>
      </w:r>
      <w:r>
        <w:lastRenderedPageBreak/>
        <w:t xml:space="preserve">residential side and wants to establish commercial and residential subcommittees, to benefit those from the specific sides.  He stated this would become important when we review legislation during the legislative cycle, especially when we get requests that require a quick turnaround.  He asked the committee members to let him know if you want to work on a particular subcommittee. </w:t>
      </w:r>
    </w:p>
    <w:p>
      <w:pPr>
        <w:jc w:val="both"/>
      </w:pPr>
    </w:p>
    <w:p>
      <w:pPr>
        <w:jc w:val="both"/>
      </w:pPr>
      <w:r>
        <w:t>Mr. Shoter advised that the next in-person committee meeting would be at the St. Petersburg Executive Council meeting the first of June and that if anyone is in that area and want to visit with us or another committee it is an excellent time to meet some very smart people.</w:t>
      </w:r>
    </w:p>
    <w:p>
      <w:pPr>
        <w:jc w:val="both"/>
      </w:pPr>
    </w:p>
    <w:p>
      <w:pPr>
        <w:jc w:val="both"/>
        <w:rPr>
          <w:b/>
        </w:rPr>
      </w:pPr>
      <w:r>
        <w:rPr>
          <w:b/>
        </w:rPr>
        <w:t>III.</w:t>
      </w:r>
      <w:r>
        <w:rPr>
          <w:b/>
        </w:rPr>
        <w:tab/>
        <w:t xml:space="preserve">CURRENT BUSINESS/LEGISLATIVE ACTION SUBCOMMITTEE:  </w:t>
      </w:r>
    </w:p>
    <w:p>
      <w:pPr>
        <w:jc w:val="both"/>
      </w:pPr>
    </w:p>
    <w:p>
      <w:pPr>
        <w:numPr>
          <w:ilvl w:val="0"/>
          <w:numId w:val="10"/>
        </w:numPr>
        <w:spacing w:after="240"/>
        <w:ind w:left="720" w:firstLine="720"/>
        <w:jc w:val="both"/>
      </w:pPr>
      <w:r>
        <w:t>Scott Frank summarized the ongoing revisions to the Landlord Tenant Act.  The highlights include subsequent landlord’s access to security deposits; §83.51 regarding payment of association dues; §83.49 regarding notice of moving money; and whether landlord’s acceptance of partial payment is or is not a waiver.  The committee preferred that it not be a waiver, but the language in the bill is very vague.  Other issues he pointed out include that 24-hour notice posted by the Sheriff includes holidays and weekend; expanded anti-retaliation language; language that says if landlord is in foreclosure the tenant is not allowed to terminate (even though no right currently exists).  Mr. Shoter indicated that the bill is still in committee and he is not sure if there is enough support.  The committee comments were forwarded, but he can’t say many of our comments were included, but there were some deletions from first proposal based on comments from the Section.  He stated that he would advise the committee if it passes or not.  Mr. Frank stated that if anyone would like to participate in the legislative subcommittee to advise him by email.  He stated that more help is needed with respect to review of legislative changes.</w:t>
      </w:r>
    </w:p>
    <w:p>
      <w:pPr>
        <w:numPr>
          <w:ilvl w:val="0"/>
          <w:numId w:val="10"/>
        </w:numPr>
        <w:spacing w:after="240"/>
        <w:ind w:left="720" w:firstLine="720"/>
        <w:jc w:val="both"/>
      </w:pPr>
      <w:r>
        <w:t>Art Menor had a conflict therefore, Mr. Shoter did an update on §713.10.  He stated that our committee has worked successfully in amending 713.10 as result of Everglades.  During the 2010 legislative session the committee successfully made changes to §§ 713.10 and 713.13.  A subcontractor can request that landlord provide language contained in lease and if no response in a certain time, the landlord can lose protections of §713.10.  He further stated that the last version that was approved continues to leave confusion as to whether notice is effective if not all leases contain the same language.  Art Menor continues to work on fixing this, and according to Art, a couple of the issues have been successfully fixed but one issue was raised in the fall by the title insurance committee which expressed concern with the time for landlord to respond to a contractor’s request.  He stated that the problem remains if you have several leases and not all of them have identical language.  He stated that hopefully the glitch bill will resolve this.</w:t>
      </w:r>
    </w:p>
    <w:p>
      <w:pPr>
        <w:jc w:val="both"/>
      </w:pPr>
      <w:r>
        <w:rPr>
          <w:b/>
        </w:rPr>
        <w:t>IV.</w:t>
      </w:r>
      <w:r>
        <w:rPr>
          <w:b/>
        </w:rPr>
        <w:tab/>
        <w:t>OLD BUSINESS:</w:t>
      </w:r>
      <w:r>
        <w:t xml:space="preserve">  NONE.</w:t>
      </w:r>
    </w:p>
    <w:p>
      <w:pPr>
        <w:pStyle w:val="ListParagraph"/>
      </w:pPr>
    </w:p>
    <w:p>
      <w:pPr>
        <w:jc w:val="both"/>
      </w:pPr>
      <w:r>
        <w:rPr>
          <w:b/>
        </w:rPr>
        <w:t>IV.</w:t>
      </w:r>
      <w:r>
        <w:rPr>
          <w:b/>
        </w:rPr>
        <w:tab/>
        <w:t xml:space="preserve">OPEN FORUM/CASE DISCUSSION:  </w:t>
      </w:r>
      <w:r>
        <w:t xml:space="preserve"> Manuel Farach, Esq. discussed DK Arena v. EB Acquisition.  He also discussed the Barkley Square case, which was a short opinion, but refers to BK Arena.  According to the court in the BK Arena Case (4</w:t>
      </w:r>
      <w:r>
        <w:rPr>
          <w:vertAlign w:val="superscript"/>
        </w:rPr>
        <w:t>th</w:t>
      </w:r>
      <w:r>
        <w:t xml:space="preserve"> DCA April 2010), you can use promissory estoppel to get around statute of frauds.  Warfside and Seashore cases upheld this.  If a party relied on a promise you are out of the statute of frauds.  He stated that if you don’t keep this case in mind, you could have issues.  Fraud or injustice is too broad of a standard.  May as well not even have a statute of frauds.  This is an exception to the statute of frauds.  One sentence in the opinion indicates that party could have protected self.</w:t>
      </w:r>
    </w:p>
    <w:p>
      <w:pPr>
        <w:jc w:val="both"/>
      </w:pPr>
    </w:p>
    <w:p>
      <w:pPr>
        <w:widowControl w:val="0"/>
        <w:jc w:val="both"/>
        <w:rPr>
          <w:sz w:val="22"/>
          <w:szCs w:val="22"/>
        </w:rPr>
      </w:pPr>
      <w:r>
        <w:rPr>
          <w:b/>
        </w:rPr>
        <w:t>V.</w:t>
      </w:r>
      <w:r>
        <w:rPr>
          <w:b/>
        </w:rPr>
        <w:tab/>
        <w:t>CLE PRESENTATION:</w:t>
      </w:r>
      <w:r>
        <w:t xml:space="preserve">  </w:t>
      </w:r>
      <w:r>
        <w:rPr>
          <w:sz w:val="22"/>
          <w:szCs w:val="22"/>
        </w:rPr>
        <w:t>Anthony Horky discussed: "</w:t>
      </w:r>
      <w:r>
        <w:rPr>
          <w:i/>
          <w:sz w:val="22"/>
          <w:szCs w:val="22"/>
        </w:rPr>
        <w:t>County Court Orders to Deposit and Disburse Funds (Rent) from the Court Registry: Can the Amount Exceed the Jurisdictional Limits</w:t>
      </w:r>
      <w:r>
        <w:rPr>
          <w:sz w:val="22"/>
          <w:szCs w:val="22"/>
        </w:rPr>
        <w:t>?"</w:t>
      </w:r>
    </w:p>
    <w:p>
      <w:pPr>
        <w:widowControl w:val="0"/>
        <w:jc w:val="both"/>
      </w:pPr>
    </w:p>
    <w:p>
      <w:pPr>
        <w:widowControl w:val="0"/>
        <w:jc w:val="both"/>
      </w:pPr>
      <w:r>
        <w:t>4:07 pm – 5:00 pm</w:t>
      </w:r>
    </w:p>
    <w:p>
      <w:pPr>
        <w:widowControl w:val="0"/>
        <w:jc w:val="both"/>
      </w:pPr>
    </w:p>
    <w:p>
      <w:pPr>
        <w:jc w:val="both"/>
        <w:rPr>
          <w:b/>
        </w:rPr>
      </w:pPr>
      <w:r>
        <w:rPr>
          <w:b/>
        </w:rPr>
        <w:t>VI.</w:t>
      </w:r>
      <w:r>
        <w:rPr>
          <w:b/>
        </w:rPr>
        <w:tab/>
        <w:t xml:space="preserve">TECHNOLOGY ISSUES:  Mr. Shoter reminded the committee to continue to use the listserve.  </w:t>
      </w:r>
    </w:p>
    <w:p>
      <w:pPr>
        <w:jc w:val="both"/>
      </w:pPr>
    </w:p>
    <w:p>
      <w:pPr>
        <w:jc w:val="both"/>
      </w:pPr>
      <w:r>
        <w:rPr>
          <w:b/>
        </w:rPr>
        <w:t>Adjourned</w:t>
      </w:r>
      <w:r>
        <w:t>:  5:00 PM</w:t>
      </w:r>
    </w:p>
    <w:p/>
    <w:p>
      <w:pPr>
        <w:rPr>
          <w:b/>
          <w:color w:val="FF0000"/>
        </w:rPr>
      </w:pPr>
      <w:r>
        <w:rPr>
          <w:b/>
          <w:color w:val="FF0000"/>
        </w:rPr>
        <w:t>Total CLE: 1 HOUR</w:t>
      </w:r>
    </w:p>
    <w:sectPr>
      <w:headerReference w:type="default" r:id="rId7"/>
      <w:footerReference w:type="default" r:id="rId8"/>
      <w:headerReference w:type="first" r:id="rId9"/>
      <w:footerReference w:type="first" r:id="rId10"/>
      <w:pgSz w:w="12240" w:h="15840" w:code="1"/>
      <w:pgMar w:top="1440" w:right="1800" w:bottom="1440" w:left="1800" w:header="1440" w:footer="720" w:gutter="0"/>
      <w:cols w:space="720"/>
      <w:titlePg/>
      <w:docGrid w:linePitch="360"/>
    </w:sectPr>
  </w:body>
</w:document>
</file>

<file path=word/endnotes.xml><?xml version="1.0" encoding="utf-8"?>
<w:end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8082917 1</w:t>
    </w:r>
    <w:r>
      <w:t xml:space="preserve"> </w:t>
    </w:r>
  </w:p>
  <w:p>
    <w:pPr>
      <w:pStyle w:val="Footer"/>
    </w:pPr>
    <w:r>
      <w:rPr>
        <w:rStyle w:val="zzmpTrailerItem"/>
      </w:rPr>
      <w:t>5/25/</w:t>
    </w:r>
    <w:r>
      <w:t xml:space="preserve"> </w:t>
    </w:r>
    <w:r>
      <w:rPr>
        <w:rStyle w:val="zzmpTrailerItem"/>
      </w:rPr>
      <w:t>12</w:t>
    </w:r>
    <w:fldSimple w:instr=" PAGE   \* MERGEFORMAT ">
      <w:r>
        <w:rPr>
          <w:noProof/>
        </w:rPr>
        <w:t>2</w:t>
      </w:r>
    </w:fldSimple>
  </w:p>
  <w:p>
    <w:pPr>
      <w:pStyle w:val="Footer"/>
    </w:pPr>
  </w:p>
</w:ftr>
</file>

<file path=word/footer2.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8082917 1</w:t>
    </w:r>
    <w:r>
      <w:t xml:space="preserve"> </w:t>
    </w:r>
  </w:p>
  <w:p>
    <w:pPr>
      <w:pStyle w:val="Footer"/>
    </w:pPr>
    <w:r>
      <w:rPr>
        <w:rStyle w:val="zzmpTrailerItem"/>
      </w:rPr>
      <w:t>5/25/</w:t>
    </w:r>
    <w:r>
      <w:t xml:space="preserve"> </w:t>
    </w:r>
    <w:r>
      <w:rPr>
        <w:rStyle w:val="zzmpTrailerItem"/>
      </w:rPr>
      <w:t>12</w:t>
    </w:r>
    <w:r>
      <w:t xml:space="preserve"> </w:t>
    </w:r>
  </w:p>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Header"/>
      <w:tabs>
        <w:tab w:val="clear" w:pos="4320"/>
        <w:tab w:val="clear" w:pos="8640"/>
      </w:tabs>
    </w:pPr>
  </w:p>
</w:hdr>
</file>

<file path=word/header2.xml><?xml version="1.0" encoding="utf-8"?>
<w:hd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Header"/>
      <w:tabs>
        <w:tab w:val="clear" w:pos="4320"/>
        <w:tab w:val="clear" w:pos="86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67B33"/>
    <w:multiLevelType w:val="hybridMultilevel"/>
    <w:tmpl w:val="B9D6C94E"/>
    <w:lvl w:ilvl="0" w:tplc="2098A722">
      <w:start w:val="1"/>
      <w:numFmt w:val="decimal"/>
      <w:lvlText w:val="%1."/>
      <w:lvlJc w:val="left"/>
      <w:pPr>
        <w:tabs>
          <w:tab w:val="num" w:pos="1080"/>
        </w:tabs>
        <w:ind w:left="1080" w:hanging="720"/>
      </w:pPr>
      <w:rPr>
        <w:rFonts w:ascii="Times New Roman" w:eastAsia="Times New Roman" w:hAnsi="Times New Roman" w:cs="Times New Roman"/>
      </w:rPr>
    </w:lvl>
    <w:lvl w:ilvl="1" w:tplc="5F56BE0E">
      <w:start w:val="1"/>
      <w:numFmt w:val="upperLetter"/>
      <w:lvlText w:val="%2."/>
      <w:lvlJc w:val="left"/>
      <w:pPr>
        <w:tabs>
          <w:tab w:val="num" w:pos="1440"/>
        </w:tabs>
        <w:ind w:left="1440" w:hanging="360"/>
      </w:pPr>
      <w:rPr>
        <w:rFonts w:cs="Times New Roman" w:hint="default"/>
        <w:u w:val="singl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41D60E7"/>
    <w:multiLevelType w:val="hybridMultilevel"/>
    <w:tmpl w:val="8A205DA2"/>
    <w:lvl w:ilvl="0" w:tplc="5306A7F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42BE43FC"/>
    <w:multiLevelType w:val="hybridMultilevel"/>
    <w:tmpl w:val="6158C6BC"/>
    <w:lvl w:ilvl="0" w:tplc="5ACCC25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42EE5896"/>
    <w:multiLevelType w:val="hybridMultilevel"/>
    <w:tmpl w:val="DF82FF74"/>
    <w:lvl w:ilvl="0" w:tplc="0F602912">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461B38A1"/>
    <w:multiLevelType w:val="hybridMultilevel"/>
    <w:tmpl w:val="91084356"/>
    <w:lvl w:ilvl="0" w:tplc="8AA0C0F8">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nsid w:val="5B686C39"/>
    <w:multiLevelType w:val="hybridMultilevel"/>
    <w:tmpl w:val="008A2BE4"/>
    <w:lvl w:ilvl="0" w:tplc="F0A21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33E12B1"/>
    <w:multiLevelType w:val="hybridMultilevel"/>
    <w:tmpl w:val="8B68AA7A"/>
    <w:lvl w:ilvl="0" w:tplc="60B8C74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64F60AAB"/>
    <w:multiLevelType w:val="hybridMultilevel"/>
    <w:tmpl w:val="44B2D4F2"/>
    <w:lvl w:ilvl="0" w:tplc="EEE0B4C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6BF0186C"/>
    <w:multiLevelType w:val="hybridMultilevel"/>
    <w:tmpl w:val="99F48BD6"/>
    <w:lvl w:ilvl="0" w:tplc="8D8CC83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7E084517"/>
    <w:multiLevelType w:val="multilevel"/>
    <w:tmpl w:val="F6247F54"/>
    <w:name w:val="zzmpNumberList||Number List|2|3|1|1|0|9||1|0|0||mpNA||mpNA||mpNA||mpNA||mpNA||mpNA||mpNA||"/>
    <w:lvl w:ilvl="0">
      <w:start w:val="1"/>
      <w:numFmt w:val="decimal"/>
      <w:lvlRestart w:val="0"/>
      <w:pStyle w:val="NumberListL1"/>
      <w:lvlText w:val="%1."/>
      <w:lvlJc w:val="left"/>
      <w:pPr>
        <w:tabs>
          <w:tab w:val="num" w:pos="891"/>
        </w:tabs>
        <w:ind w:left="891" w:hanging="720"/>
      </w:pPr>
      <w:rPr>
        <w:rFonts w:ascii="Times New Roman" w:hAnsi="Times New Roman" w:cs="Times New Roman"/>
        <w:b/>
        <w:i w:val="0"/>
        <w:caps w:val="0"/>
        <w:color w:val="auto"/>
        <w:sz w:val="24"/>
        <w:u w:val="none"/>
      </w:rPr>
    </w:lvl>
    <w:lvl w:ilvl="1">
      <w:start w:val="1"/>
      <w:numFmt w:val="lowerLetter"/>
      <w:pStyle w:val="NumberListL2"/>
      <w:lvlText w:val="(%2)"/>
      <w:lvlJc w:val="left"/>
      <w:pPr>
        <w:tabs>
          <w:tab w:val="num" w:pos="1440"/>
        </w:tabs>
        <w:ind w:left="720"/>
      </w:pPr>
      <w:rPr>
        <w:rFonts w:ascii="Times New Roman" w:hAnsi="Times New Roman" w:cs="Times New Roman"/>
        <w:b w:val="0"/>
        <w:i w:val="0"/>
        <w:caps w:val="0"/>
        <w:smallCaps w:val="0"/>
        <w:strike w:val="0"/>
        <w:dstrike w:val="0"/>
        <w:outline w:val="0"/>
        <w:shadow w:val="0"/>
        <w:emboss w:val="0"/>
        <w:imprint w:val="0"/>
        <w:vanish w:val="0"/>
        <w:color w:val="auto"/>
        <w:sz w:val="24"/>
        <w:u w:val="none"/>
        <w:effect w:val="none"/>
        <w:vertAlign w:val="baseline"/>
      </w:rPr>
    </w:lvl>
    <w:lvl w:ilvl="2">
      <w:start w:val="1"/>
      <w:numFmt w:val="lowerRoman"/>
      <w:lvlText w:val="(%3)"/>
      <w:lvlJc w:val="left"/>
      <w:pPr>
        <w:tabs>
          <w:tab w:val="num" w:pos="2160"/>
        </w:tabs>
        <w:ind w:firstLine="1440"/>
      </w:pPr>
      <w:rPr>
        <w:rFonts w:ascii="Times New Roman" w:hAnsi="Times New Roman" w:cs="Times New Roman"/>
        <w:b w:val="0"/>
        <w:i w:val="0"/>
        <w:caps w:val="0"/>
        <w:color w:val="auto"/>
        <w:u w:val="none"/>
      </w:rPr>
    </w:lvl>
    <w:lvl w:ilvl="3">
      <w:start w:val="1"/>
      <w:numFmt w:val="decimal"/>
      <w:lvlText w:val="(%4)"/>
      <w:lvlJc w:val="left"/>
      <w:pPr>
        <w:tabs>
          <w:tab w:val="num" w:pos="2880"/>
        </w:tabs>
        <w:ind w:firstLine="2160"/>
      </w:pPr>
      <w:rPr>
        <w:rFonts w:ascii="Times New Roman" w:hAnsi="Times New Roman" w:cs="Times New Roman"/>
        <w:b w:val="0"/>
        <w:i w:val="0"/>
        <w:caps w:val="0"/>
        <w:color w:val="auto"/>
        <w:u w:val="none"/>
      </w:rPr>
    </w:lvl>
    <w:lvl w:ilvl="4">
      <w:start w:val="1"/>
      <w:numFmt w:val="lowerLetter"/>
      <w:lvlText w:val="%5."/>
      <w:lvlJc w:val="left"/>
      <w:pPr>
        <w:tabs>
          <w:tab w:val="num" w:pos="3600"/>
        </w:tabs>
        <w:ind w:firstLine="2880"/>
      </w:pPr>
      <w:rPr>
        <w:rFonts w:ascii="Times New Roman" w:hAnsi="Times New Roman" w:cs="Times New Roman"/>
        <w:b w:val="0"/>
        <w:i w:val="0"/>
        <w:caps w:val="0"/>
        <w:color w:val="auto"/>
        <w:u w:val="none"/>
      </w:rPr>
    </w:lvl>
    <w:lvl w:ilvl="5">
      <w:start w:val="1"/>
      <w:numFmt w:val="lowerRoman"/>
      <w:lvlText w:val="%6."/>
      <w:lvlJc w:val="left"/>
      <w:pPr>
        <w:tabs>
          <w:tab w:val="num" w:pos="4320"/>
        </w:tabs>
        <w:ind w:firstLine="3600"/>
      </w:pPr>
      <w:rPr>
        <w:rFonts w:ascii="Times New Roman" w:hAnsi="Times New Roman" w:cs="Times New Roman"/>
        <w:b w:val="0"/>
        <w:i w:val="0"/>
        <w:caps w:val="0"/>
        <w:color w:val="auto"/>
        <w:u w:val="none"/>
      </w:rPr>
    </w:lvl>
    <w:lvl w:ilvl="6">
      <w:start w:val="1"/>
      <w:numFmt w:val="decimal"/>
      <w:lvlText w:val="%7)"/>
      <w:lvlJc w:val="left"/>
      <w:pPr>
        <w:tabs>
          <w:tab w:val="num" w:pos="5040"/>
        </w:tabs>
        <w:ind w:firstLine="4320"/>
      </w:pPr>
      <w:rPr>
        <w:rFonts w:ascii="Times New Roman" w:hAnsi="Times New Roman" w:cs="Times New Roman"/>
        <w:b w:val="0"/>
        <w:i w:val="0"/>
        <w:caps w:val="0"/>
        <w:color w:val="auto"/>
        <w:u w:val="none"/>
      </w:rPr>
    </w:lvl>
    <w:lvl w:ilvl="7">
      <w:start w:val="1"/>
      <w:numFmt w:val="lowerLetter"/>
      <w:lvlText w:val="%8)"/>
      <w:lvlJc w:val="left"/>
      <w:pPr>
        <w:tabs>
          <w:tab w:val="num" w:pos="5760"/>
        </w:tabs>
        <w:ind w:firstLine="5040"/>
      </w:pPr>
      <w:rPr>
        <w:rFonts w:ascii="Times New Roman" w:hAnsi="Times New Roman" w:cs="Times New Roman"/>
        <w:b w:val="0"/>
        <w:i w:val="0"/>
        <w:caps w:val="0"/>
        <w:color w:val="auto"/>
        <w:u w:val="none"/>
      </w:rPr>
    </w:lvl>
    <w:lvl w:ilvl="8">
      <w:start w:val="1"/>
      <w:numFmt w:val="lowerRoman"/>
      <w:lvlText w:val="%9)"/>
      <w:lvlJc w:val="left"/>
      <w:pPr>
        <w:tabs>
          <w:tab w:val="num" w:pos="6480"/>
        </w:tabs>
        <w:ind w:firstLine="5760"/>
      </w:pPr>
      <w:rPr>
        <w:rFonts w:ascii="Times New Roman" w:hAnsi="Times New Roman" w:cs="Times New Roman"/>
        <w:b w:val="0"/>
        <w:i w:val="0"/>
        <w:caps w:val="0"/>
        <w:color w:val="auto"/>
        <w:u w:val="none"/>
      </w:rPr>
    </w:lvl>
  </w:abstractNum>
  <w:num w:numId="1">
    <w:abstractNumId w:val="0"/>
  </w:num>
  <w:num w:numId="2">
    <w:abstractNumId w:val="4"/>
  </w:num>
  <w:num w:numId="3">
    <w:abstractNumId w:val="7"/>
  </w:num>
  <w:num w:numId="4">
    <w:abstractNumId w:val="6"/>
  </w:num>
  <w:num w:numId="5">
    <w:abstractNumId w:val="2"/>
  </w:num>
  <w:num w:numId="6">
    <w:abstractNumId w:val="8"/>
  </w:num>
  <w:num w:numId="7">
    <w:abstractNumId w:val="1"/>
  </w:num>
  <w:num w:numId="8">
    <w:abstractNumId w:val="3"/>
  </w:num>
  <w:num w:numId="9">
    <w:abstractNumId w:val="9"/>
  </w:num>
  <w:num w:numId="10">
    <w:abstractNumId w:val="5"/>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20"/>
  <w:removePersonalInformation/>
  <w:stylePaneFormatFilter w:val="3F01"/>
  <w:doNotTrackMoves/>
  <w:defaultTabStop w:val="720"/>
  <w:characterSpacingControl w:val="doNotCompress"/>
  <w:hdrShapeDefaults>
    <o:shapedefaults v:ext="edit" spidmax="7169"/>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85TrailerDate" w:val="1"/>
    <w:docVar w:name="85TrailerDateField" w:val="0"/>
    <w:docVar w:name="85TrailerDraft" w:val="0"/>
    <w:docVar w:name="85TrailerTime" w:val="0"/>
    <w:docVar w:name="85TrailerType" w:val="100"/>
    <w:docVar w:name="MPDocID" w:val="WPBDOCS 8082917 1"/>
    <w:docVar w:name="MPDocIDTemplate" w:val="%l |%n |%v"/>
    <w:docVar w:name="MPDocIDTemplateDefault" w:val="%l |%n |%v"/>
    <w:docVar w:name="NewDocStampType" w:val="1"/>
  </w:docVar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Pr>
      <w:rFonts w:cs="Times New Roman"/>
    </w:rPr>
  </w:style>
  <w:style w:type="paragraph" w:styleId="ListParagraph">
    <w:name w:val="List Paragraph"/>
    <w:basedOn w:val="Normal"/>
    <w:qFormat/>
    <w:pPr>
      <w:ind w:left="720"/>
    </w:pPr>
  </w:style>
  <w:style w:type="paragraph" w:customStyle="1" w:styleId="NumberListL1">
    <w:name w:val="NumberList_L1"/>
    <w:basedOn w:val="Normal"/>
    <w:pPr>
      <w:numPr>
        <w:numId w:val="9"/>
      </w:numPr>
      <w:spacing w:after="240"/>
      <w:jc w:val="both"/>
      <w:outlineLvl w:val="0"/>
    </w:pPr>
    <w:rPr>
      <w:szCs w:val="20"/>
    </w:rPr>
  </w:style>
  <w:style w:type="paragraph" w:customStyle="1" w:styleId="NumberListL2">
    <w:name w:val="NumberList_L2"/>
    <w:basedOn w:val="NumberListL1"/>
    <w:next w:val="NumberListL1"/>
    <w:pPr>
      <w:numPr>
        <w:ilvl w:val="1"/>
      </w:numPr>
      <w:ind w:firstLine="0"/>
      <w:outlineLvl w:val="1"/>
    </w:pPr>
  </w:style>
  <w:style w:type="character" w:customStyle="1" w:styleId="FooterChar">
    <w:name w:val="Footer Char"/>
    <w:link w:val="Footer"/>
    <w:uiPriority w:val="99"/>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1035</Words>
  <Characters>5285</Characters>
  <Application>Microsoft Office Word</Application>
  <DocSecurity>0</DocSecurity>
  <Lines>112</Lines>
  <Paragraphs>26</Paragraphs>
  <ScaleCrop>false</ScaleCrop>
  <LinksUpToDate>false</LinksUpToDate>
  <CharactersWithSpaces>6355</CharactersWithSpaces>
  <SharedDoc>false</SharedDoc>
  <HyperlinksChanged>false</HyperlinksChanged>
  <AppVersion>12.0000</AppVersion>
</Properties>
</file>

<file path=docProps/core.xml><?xml version="1.0" encoding="utf-8"?>
<coreProperties xmlns:dc="http://purl.org/dc/elements/1.1/" xmlns:dcterms="http://purl.org/dc/terms/" xmlns:xsi="http://www.w3.org/2001/XMLSchema-instance" xmlns="http://schemas.openxmlformats.org/package/2006/metadata/core-properties">
  <dc:title>LANDLORD-TENANT COMMITTEE</dc:title>
  <dc:subject/>
  <dc:creator/>
  <keywords/>
  <lastModifiedBy/>
  <revision>1</revision>
  <dcterms:created xsi:type="dcterms:W3CDTF">2012-05-25T22:32:31.9289972Z</dcterms:created>
  <dcterms:modified xsi:type="dcterms:W3CDTF">2012-05-25T22:32:31.9289972Z</dcterms:modified>
  <category/>
  <dc:description/>
  <contentStatus/>
  <contentType/>
  <version>0</version>
</coreProperties>
</file>