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body>
    <w:p>
      <w:pPr>
        <w:jc w:val="center"/>
        <w:rPr>
          <w:b/>
          <w:sz w:val="28"/>
          <w:szCs w:val="28"/>
        </w:rPr>
      </w:pPr>
      <w:r>
        <w:rPr>
          <w:b/>
          <w:sz w:val="28"/>
          <w:szCs w:val="28"/>
        </w:rPr>
        <w:t>LANDLORD-TENANT COMMITTEE</w:t>
      </w:r>
    </w:p>
    <w:p>
      <w:pPr>
        <w:jc w:val="center"/>
        <w:rPr>
          <w:b/>
        </w:rPr>
      </w:pPr>
      <w:r>
        <w:rPr>
          <w:b/>
        </w:rPr>
        <w:t>Memorandum of Committee Minutes</w:t>
      </w:r>
    </w:p>
    <w:p/>
    <w:p>
      <w:r>
        <w:t>TO:</w:t>
      </w:r>
      <w:r>
        <w:tab/>
      </w:r>
      <w:r>
        <w:tab/>
        <w:t>All Landlord Tenant Committee Members</w:t>
      </w:r>
    </w:p>
    <w:p>
      <w:r>
        <w:tab/>
      </w:r>
      <w:r>
        <w:tab/>
        <w:t>The Florida Bar – Real Property, Probate and Trust Law Section</w:t>
      </w:r>
    </w:p>
    <w:p/>
    <w:p>
      <w:r>
        <w:t>FROM:</w:t>
      </w:r>
      <w:r>
        <w:tab/>
        <w:t>Brenda Ezell, Secretary</w:t>
      </w:r>
    </w:p>
    <w:p/>
    <w:p>
      <w:r>
        <w:t>RE:</w:t>
      </w:r>
      <w:r>
        <w:tab/>
      </w:r>
      <w:r>
        <w:tab/>
        <w:t>May 29, 2012 Meeting Minutes</w:t>
      </w:r>
    </w:p>
    <w:p>
      <w:r>
        <w:t>_______________________________________________________________________</w:t>
      </w:r>
    </w:p>
    <w:p/>
    <w:p>
      <w:pPr>
        <w:jc w:val="both"/>
      </w:pPr>
      <w:r>
        <w:t xml:space="preserve">The Committee Chair, Neil Shoter, convened the teleconference at 3:30 PM.  </w:t>
      </w:r>
    </w:p>
    <w:p>
      <w:pPr>
        <w:jc w:val="both"/>
      </w:pPr>
    </w:p>
    <w:p>
      <w:pPr>
        <w:jc w:val="both"/>
      </w:pPr>
      <w:r>
        <w:t xml:space="preserve">Those attending the meeting via telephone conference were: </w:t>
      </w:r>
    </w:p>
    <w:p>
      <w:pPr>
        <w:jc w:val="both"/>
      </w:pPr>
    </w:p>
    <w:p>
      <w:pPr>
        <w:jc w:val="both"/>
      </w:pPr>
      <w:r>
        <w:t>Neil Shoter; Gil Acevedo; Beverly Barnett; Rick Eckhard; Brenda Ezell; Lloyd Granet; Michael Grant; Gregory R. Haney; Phyllis Harley; Beth Linzner; Joseph McNabb; Arthur J. Menor; John Neukamm; Lainie J. Simon; Les H. Stevens; David Weisman; and Salome J. Zikakis.</w:t>
      </w:r>
    </w:p>
    <w:p>
      <w:pPr>
        <w:jc w:val="both"/>
      </w:pPr>
    </w:p>
    <w:p>
      <w:pPr>
        <w:jc w:val="both"/>
      </w:pPr>
      <w:r>
        <w:t xml:space="preserve">The minutes for the committee meeting of February 24, 2012 were presented for approval and were approved without objection. </w:t>
      </w:r>
    </w:p>
    <w:p>
      <w:pPr>
        <w:jc w:val="both"/>
      </w:pPr>
    </w:p>
    <w:p>
      <w:pPr>
        <w:jc w:val="both"/>
      </w:pPr>
      <w:r>
        <w:rPr>
          <w:b/>
        </w:rPr>
        <w:t>I.</w:t>
      </w:r>
      <w:r>
        <w:rPr>
          <w:b/>
        </w:rPr>
        <w:tab/>
        <w:t>WELCOME AND INTRODUCTION:</w:t>
      </w:r>
      <w:r>
        <w:t xml:space="preserve">  Neil Shoter welcomed committee members to the first meeting of the year.    </w:t>
      </w:r>
    </w:p>
    <w:p>
      <w:pPr>
        <w:jc w:val="both"/>
      </w:pPr>
    </w:p>
    <w:p>
      <w:pPr>
        <w:jc w:val="both"/>
      </w:pPr>
      <w:r>
        <w:rPr>
          <w:b/>
        </w:rPr>
        <w:t>II.</w:t>
      </w:r>
      <w:r>
        <w:rPr>
          <w:b/>
        </w:rPr>
        <w:tab/>
        <w:t>CHAIR’S REPORT:</w:t>
      </w:r>
      <w:r>
        <w:t xml:space="preserve">  </w:t>
      </w:r>
    </w:p>
    <w:p>
      <w:pPr>
        <w:jc w:val="both"/>
      </w:pPr>
    </w:p>
    <w:p>
      <w:pPr>
        <w:jc w:val="both"/>
      </w:pPr>
      <w:r>
        <w:t xml:space="preserve">Mr. Shoter advised the committee that we have begun using Google docs for attendance.  He thanked Lloyd Granet for idea.  He announced that the RPPTL Section has its annual legislative update on July 26, 2012 in Palm Beach at The Breakers, and we will also have an in-person committee meeting in conjunction with the meeting.  He advised the committee that the Legislative Update is a great seminar to attend and that more information would be coming from the Section.  Mr. Shoter thanked Scott Frank for his work on Legislative subcommittee. He advised that Rick Eckhart will now be on the committee along with Lloyd Granet. </w:t>
      </w:r>
    </w:p>
    <w:p>
      <w:pPr>
        <w:jc w:val="both"/>
      </w:pPr>
    </w:p>
    <w:p>
      <w:pPr>
        <w:jc w:val="both"/>
      </w:pPr>
      <w:r>
        <w:t xml:space="preserve">Mr. Shoter stated that the section’s meeting schedule for the next year should be posted on the website.  He invited committee members to attend the meetings.  He also invited anyone interested in assisting with a subcommittee on legislative review, residential evictions or commercial leasing.  He would like to structure the subcommittees so they are ready to go if any issues arise so if anyone is interested in those committees or in the membership area, please send him an email.  </w:t>
      </w:r>
    </w:p>
    <w:p>
      <w:pPr>
        <w:jc w:val="both"/>
      </w:pPr>
    </w:p>
    <w:p>
      <w:pPr>
        <w:jc w:val="both"/>
      </w:pPr>
      <w:r>
        <w:lastRenderedPageBreak/>
        <w:t xml:space="preserve">Mr. Shoter reminded the committee members who call in to remember not to put the call on hold because music disrupts the meeting.  Mr. Shoter indicated that Anthony was going to update us on jurisdictional issues with circuit court, but he was not in attendance, therefore, Gil Acevedo reported an update on the subcommittee’s efforts with this project. </w:t>
      </w:r>
    </w:p>
    <w:p>
      <w:pPr>
        <w:jc w:val="both"/>
      </w:pPr>
    </w:p>
    <w:p>
      <w:pPr>
        <w:jc w:val="both"/>
      </w:pPr>
      <w:r>
        <w:t>Mr. Shoter advised that the next meeting will be on July 26 or 27</w:t>
      </w:r>
      <w:r>
        <w:rPr>
          <w:vertAlign w:val="superscript"/>
        </w:rPr>
        <w:t>th</w:t>
      </w:r>
      <w:r>
        <w:t xml:space="preserve"> at the Breakers.</w:t>
      </w:r>
    </w:p>
    <w:p>
      <w:pPr>
        <w:jc w:val="both"/>
      </w:pPr>
    </w:p>
    <w:p>
      <w:pPr>
        <w:jc w:val="both"/>
      </w:pPr>
      <w:r>
        <w:rPr>
          <w:b/>
        </w:rPr>
        <w:t>III.</w:t>
      </w:r>
      <w:r>
        <w:rPr>
          <w:b/>
        </w:rPr>
        <w:tab/>
        <w:t xml:space="preserve">CURRENT BUSINESS/LEGISLATIVE ACTION SUBCOMMITTEE:  </w:t>
      </w:r>
      <w:r>
        <w:t>NONE.</w:t>
      </w:r>
    </w:p>
    <w:p>
      <w:pPr>
        <w:jc w:val="both"/>
      </w:pPr>
    </w:p>
    <w:p>
      <w:pPr>
        <w:jc w:val="both"/>
      </w:pPr>
      <w:r>
        <w:rPr>
          <w:b/>
        </w:rPr>
        <w:t>IV.</w:t>
      </w:r>
      <w:r>
        <w:rPr>
          <w:b/>
        </w:rPr>
        <w:tab/>
        <w:t>OLD BUSINESS:</w:t>
      </w:r>
      <w:r>
        <w:t xml:space="preserve">  NONE.</w:t>
      </w:r>
    </w:p>
    <w:p>
      <w:pPr>
        <w:pStyle w:val="ListParagraph"/>
      </w:pPr>
    </w:p>
    <w:p>
      <w:pPr>
        <w:jc w:val="both"/>
      </w:pPr>
      <w:r>
        <w:rPr>
          <w:b/>
        </w:rPr>
        <w:t>V.</w:t>
      </w:r>
      <w:r>
        <w:rPr>
          <w:b/>
        </w:rPr>
        <w:tab/>
        <w:t xml:space="preserve">OPEN FORUM/CASE DISCUSSION:  </w:t>
      </w:r>
      <w:r>
        <w:t xml:space="preserve"> Art Menor discussed a recent opinion entitled </w:t>
      </w:r>
      <w:r>
        <w:rPr>
          <w:u w:val="single"/>
        </w:rPr>
        <w:t>Asbury Convention Hall v. United States Liability Insurance Group</w:t>
      </w:r>
      <w:r>
        <w:t xml:space="preserve">.  At issue was a license agreement where the licensee gave an indemnification and was to insure to back up the indemnity.  Conclusion, additional insured endorsement was not issued so licensor was not an insured.  The landlord argued protection under policy was given under contractual liability elements under policy.  He discussed contractual liability exclusions and exceptions for insured contracts, which are generally defined to include leases. Rick Eckhart provided valuable insight on current issues relating to issues and leasing.  Mr. Shoter requested members get involved with either an article or other CLE that could be presented on this issue.  He will give an update at the next meeting. </w:t>
      </w:r>
      <w:bookmarkStart w:id="0" w:name="_GoBack"/>
      <w:bookmarkEnd w:id="0"/>
    </w:p>
    <w:p>
      <w:pPr>
        <w:jc w:val="both"/>
      </w:pPr>
    </w:p>
    <w:p>
      <w:pPr>
        <w:widowControl w:val="0"/>
        <w:jc w:val="both"/>
      </w:pPr>
      <w:r>
        <w:rPr>
          <w:b/>
        </w:rPr>
        <w:t>VI.</w:t>
      </w:r>
      <w:r>
        <w:rPr>
          <w:b/>
        </w:rPr>
        <w:tab/>
        <w:t>CLE PRESENTATION:</w:t>
      </w:r>
      <w:r>
        <w:t xml:space="preserve">  3:40 pm – 4:30 pm</w:t>
      </w:r>
    </w:p>
    <w:p>
      <w:pPr>
        <w:widowControl w:val="0"/>
        <w:jc w:val="both"/>
        <w:rPr>
          <w:sz w:val="22"/>
          <w:szCs w:val="22"/>
        </w:rPr>
      </w:pPr>
    </w:p>
    <w:p>
      <w:pPr>
        <w:widowControl w:val="0"/>
        <w:jc w:val="both"/>
        <w:rPr>
          <w:sz w:val="22"/>
          <w:szCs w:val="22"/>
        </w:rPr>
      </w:pPr>
      <w:r>
        <w:rPr>
          <w:sz w:val="22"/>
          <w:szCs w:val="22"/>
        </w:rPr>
        <w:t>Mr. French Brown, Deputy Director of Technical Assistance and Dispute Resolution of the Florida Department of Revenue discussed: "</w:t>
      </w:r>
      <w:r>
        <w:rPr>
          <w:i/>
          <w:sz w:val="22"/>
          <w:szCs w:val="22"/>
        </w:rPr>
        <w:t>Sales Tax in Commercial Leasing.</w:t>
      </w:r>
      <w:r>
        <w:rPr>
          <w:sz w:val="22"/>
          <w:szCs w:val="22"/>
        </w:rPr>
        <w:t>"</w:t>
      </w:r>
    </w:p>
    <w:p>
      <w:pPr>
        <w:widowControl w:val="0"/>
        <w:jc w:val="both"/>
      </w:pPr>
    </w:p>
    <w:p>
      <w:pPr>
        <w:widowControl w:val="0"/>
        <w:jc w:val="both"/>
      </w:pPr>
      <w:r>
        <w:t xml:space="preserve">4:30 – 5:00 </w:t>
      </w:r>
      <w:r>
        <w:rPr>
          <w:u w:val="single"/>
        </w:rPr>
        <w:t>Asbury Convention Hall v. United States Liability Insurance Group</w:t>
      </w:r>
      <w:r>
        <w:t>.</w:t>
      </w:r>
    </w:p>
    <w:p>
      <w:pPr>
        <w:widowControl w:val="0"/>
        <w:jc w:val="both"/>
      </w:pPr>
    </w:p>
    <w:p>
      <w:pPr>
        <w:jc w:val="both"/>
        <w:rPr>
          <w:b/>
        </w:rPr>
      </w:pPr>
      <w:r>
        <w:rPr>
          <w:b/>
        </w:rPr>
        <w:t>VII.</w:t>
      </w:r>
      <w:r>
        <w:rPr>
          <w:b/>
        </w:rPr>
        <w:tab/>
        <w:t>TECHNOLOGY ISSUES:  NONE.</w:t>
      </w:r>
    </w:p>
    <w:p>
      <w:pPr>
        <w:jc w:val="both"/>
      </w:pPr>
    </w:p>
    <w:p>
      <w:pPr>
        <w:jc w:val="both"/>
      </w:pPr>
      <w:r>
        <w:rPr>
          <w:b/>
        </w:rPr>
        <w:t>Adjourned</w:t>
      </w:r>
      <w:r>
        <w:t>:  5:00 PM</w:t>
      </w:r>
    </w:p>
    <w:p/>
    <w:p>
      <w:pPr>
        <w:rPr>
          <w:b/>
          <w:color w:val="FF0000"/>
        </w:rPr>
      </w:pPr>
      <w:r>
        <w:rPr>
          <w:b/>
          <w:color w:val="FF0000"/>
        </w:rPr>
        <w:t>Total CLE: 1 HOUR</w:t>
      </w:r>
    </w:p>
    <w:sectPr>
      <w:headerReference w:type="default" r:id="rId7"/>
      <w:footerReference w:type="default" r:id="rId8"/>
      <w:headerReference w:type="first" r:id="rId9"/>
      <w:footerReference w:type="first" r:id="rId10"/>
      <w:pgSz w:w="12240" w:h="15840" w:code="1"/>
      <w:pgMar w:top="1440" w:right="1800" w:bottom="1440" w:left="1800" w:header="1440" w:footer="720" w:gutter="0"/>
      <w:cols w:space="720"/>
      <w:titlePg/>
      <w:docGrid w:linePitch="360"/>
    </w:sectPr>
  </w:body>
</w:document>
</file>

<file path=word/endnotes.xml><?xml version="1.0" encoding="utf-8"?>
<w:end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Footer"/>
    </w:pPr>
    <w:r>
      <w:rPr>
        <w:rStyle w:val="zzmpTrailerItem"/>
      </w:rPr>
      <w:t>WPBDOCS 8146972 1</w:t>
    </w:r>
    <w:r>
      <w:t xml:space="preserve"> </w:t>
    </w:r>
  </w:p>
  <w:p>
    <w:pPr>
      <w:pStyle w:val="Footer"/>
    </w:pPr>
    <w:r>
      <w:rPr>
        <w:rStyle w:val="zzmpTrailerItem"/>
      </w:rPr>
      <w:t>7/24/12</w:t>
    </w:r>
    <w:r>
      <w:t xml:space="preserve"> </w:t>
    </w:r>
    <w:sdt>
      <w:sdtPr>
        <w:id w:val="1865173443"/>
        <w:docPartObj>
          <w:docPartGallery w:val="Page Numbers (Bottom of Page)"/>
          <w:docPartUnique/>
        </w:docPartObj>
      </w:sdtPr>
      <w:sdtEndPr>
        <w:rPr>
          <w:noProof/>
        </w:rPr>
      </w:sdtEndPr>
      <w:sdtContent>
        <w:fldSimple w:instr=" PAGE   \* MERGEFORMAT ">
          <w:r>
            <w:rPr>
              <w:noProof/>
            </w:rPr>
            <w:t>2</w:t>
          </w:r>
        </w:fldSimple>
      </w:sdtContent>
    </w:sdt>
  </w:p>
  <w:p>
    <w:pPr>
      <w:pStyle w:val="Footer"/>
    </w:pPr>
  </w:p>
</w:ftr>
</file>

<file path=word/footer2.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Footer"/>
    </w:pPr>
    <w:r>
      <w:rPr>
        <w:rStyle w:val="zzmpTrailerItem"/>
      </w:rPr>
      <w:t>WPBDOCS 8146972 1</w:t>
    </w:r>
    <w:r>
      <w:t xml:space="preserve"> </w:t>
    </w:r>
  </w:p>
  <w:p>
    <w:pPr>
      <w:pStyle w:val="Footer"/>
    </w:pPr>
    <w:r>
      <w:rPr>
        <w:rStyle w:val="zzmpTrailerItem"/>
      </w:rPr>
      <w:t>7/24/12</w:t>
    </w:r>
    <w:r>
      <w:t xml:space="preserve"> </w:t>
    </w:r>
  </w:p>
  <w:p>
    <w:pPr>
      <w:pStyle w:val="Footer"/>
    </w:pPr>
    <w:r>
      <w:t xml:space="preserve"> </w:t>
    </w:r>
  </w:p>
</w:ftr>
</file>

<file path=word/footnotes.xml><?xml version="1.0" encoding="utf-8"?>
<w:foot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Header"/>
      <w:tabs>
        <w:tab w:val="clear" w:pos="4320"/>
        <w:tab w:val="clear" w:pos="8640"/>
      </w:tabs>
    </w:pPr>
  </w:p>
</w:hdr>
</file>

<file path=word/header2.xml><?xml version="1.0" encoding="utf-8"?>
<w:hd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Header"/>
      <w:tabs>
        <w:tab w:val="clear" w:pos="4320"/>
        <w:tab w:val="clear" w:pos="864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67B33"/>
    <w:multiLevelType w:val="hybridMultilevel"/>
    <w:tmpl w:val="B9D6C94E"/>
    <w:lvl w:ilvl="0" w:tplc="2098A722">
      <w:start w:val="1"/>
      <w:numFmt w:val="decimal"/>
      <w:lvlText w:val="%1."/>
      <w:lvlJc w:val="left"/>
      <w:pPr>
        <w:tabs>
          <w:tab w:val="num" w:pos="1080"/>
        </w:tabs>
        <w:ind w:left="1080" w:hanging="720"/>
      </w:pPr>
      <w:rPr>
        <w:rFonts w:ascii="Times New Roman" w:eastAsia="Times New Roman" w:hAnsi="Times New Roman" w:cs="Times New Roman"/>
      </w:rPr>
    </w:lvl>
    <w:lvl w:ilvl="1" w:tplc="5F56BE0E">
      <w:start w:val="1"/>
      <w:numFmt w:val="upperLetter"/>
      <w:lvlText w:val="%2."/>
      <w:lvlJc w:val="left"/>
      <w:pPr>
        <w:tabs>
          <w:tab w:val="num" w:pos="1440"/>
        </w:tabs>
        <w:ind w:left="1440" w:hanging="360"/>
      </w:pPr>
      <w:rPr>
        <w:rFonts w:cs="Times New Roman" w:hint="default"/>
        <w:u w:val="singl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141D60E7"/>
    <w:multiLevelType w:val="hybridMultilevel"/>
    <w:tmpl w:val="8A205DA2"/>
    <w:lvl w:ilvl="0" w:tplc="5306A7F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42BE43FC"/>
    <w:multiLevelType w:val="hybridMultilevel"/>
    <w:tmpl w:val="6158C6BC"/>
    <w:lvl w:ilvl="0" w:tplc="5ACCC25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42EE5896"/>
    <w:multiLevelType w:val="hybridMultilevel"/>
    <w:tmpl w:val="DF82FF74"/>
    <w:lvl w:ilvl="0" w:tplc="0F602912">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461B38A1"/>
    <w:multiLevelType w:val="hybridMultilevel"/>
    <w:tmpl w:val="91084356"/>
    <w:lvl w:ilvl="0" w:tplc="8AA0C0F8">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nsid w:val="5B686C39"/>
    <w:multiLevelType w:val="hybridMultilevel"/>
    <w:tmpl w:val="008A2BE4"/>
    <w:lvl w:ilvl="0" w:tplc="F0A218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33E12B1"/>
    <w:multiLevelType w:val="hybridMultilevel"/>
    <w:tmpl w:val="8B68AA7A"/>
    <w:lvl w:ilvl="0" w:tplc="60B8C74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64F60AAB"/>
    <w:multiLevelType w:val="hybridMultilevel"/>
    <w:tmpl w:val="44B2D4F2"/>
    <w:lvl w:ilvl="0" w:tplc="EEE0B4C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6BF0186C"/>
    <w:multiLevelType w:val="hybridMultilevel"/>
    <w:tmpl w:val="99F48BD6"/>
    <w:lvl w:ilvl="0" w:tplc="8D8CC83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7E084517"/>
    <w:multiLevelType w:val="multilevel"/>
    <w:tmpl w:val="F6247F54"/>
    <w:name w:val="zzmpNumberList||Number List|2|3|1|1|0|9||1|0|0||mpNA||mpNA||mpNA||mpNA||mpNA||mpNA||mpNA||"/>
    <w:lvl w:ilvl="0">
      <w:start w:val="1"/>
      <w:numFmt w:val="decimal"/>
      <w:lvlRestart w:val="0"/>
      <w:pStyle w:val="NumberListL1"/>
      <w:lvlText w:val="%1."/>
      <w:lvlJc w:val="left"/>
      <w:pPr>
        <w:tabs>
          <w:tab w:val="num" w:pos="891"/>
        </w:tabs>
        <w:ind w:left="891" w:hanging="720"/>
      </w:pPr>
      <w:rPr>
        <w:rFonts w:ascii="Times New Roman" w:hAnsi="Times New Roman" w:cs="Times New Roman"/>
        <w:b/>
        <w:i w:val="0"/>
        <w:caps w:val="0"/>
        <w:color w:val="auto"/>
        <w:sz w:val="24"/>
        <w:u w:val="none"/>
      </w:rPr>
    </w:lvl>
    <w:lvl w:ilvl="1">
      <w:start w:val="1"/>
      <w:numFmt w:val="lowerLetter"/>
      <w:pStyle w:val="NumberListL2"/>
      <w:lvlText w:val="(%2)"/>
      <w:lvlJc w:val="left"/>
      <w:pPr>
        <w:tabs>
          <w:tab w:val="num" w:pos="1440"/>
        </w:tabs>
        <w:ind w:left="720"/>
      </w:pPr>
      <w:rPr>
        <w:rFonts w:ascii="Times New Roman" w:hAnsi="Times New Roman" w:cs="Times New Roman"/>
        <w:b w:val="0"/>
        <w:i w:val="0"/>
        <w:caps w:val="0"/>
        <w:smallCaps w:val="0"/>
        <w:strike w:val="0"/>
        <w:dstrike w:val="0"/>
        <w:vanish w:val="0"/>
        <w:color w:val="auto"/>
        <w:sz w:val="24"/>
        <w:u w:val="none"/>
        <w:effect w:val="none"/>
        <w:vertAlign w:val="baseline"/>
      </w:rPr>
    </w:lvl>
    <w:lvl w:ilvl="2">
      <w:start w:val="1"/>
      <w:numFmt w:val="lowerRoman"/>
      <w:lvlText w:val="(%3)"/>
      <w:lvlJc w:val="left"/>
      <w:pPr>
        <w:tabs>
          <w:tab w:val="num" w:pos="2160"/>
        </w:tabs>
        <w:ind w:firstLine="1440"/>
      </w:pPr>
      <w:rPr>
        <w:rFonts w:ascii="Times New Roman" w:hAnsi="Times New Roman" w:cs="Times New Roman"/>
        <w:b w:val="0"/>
        <w:i w:val="0"/>
        <w:caps w:val="0"/>
        <w:color w:val="auto"/>
        <w:u w:val="none"/>
      </w:rPr>
    </w:lvl>
    <w:lvl w:ilvl="3">
      <w:start w:val="1"/>
      <w:numFmt w:val="decimal"/>
      <w:lvlText w:val="(%4)"/>
      <w:lvlJc w:val="left"/>
      <w:pPr>
        <w:tabs>
          <w:tab w:val="num" w:pos="2880"/>
        </w:tabs>
        <w:ind w:firstLine="2160"/>
      </w:pPr>
      <w:rPr>
        <w:rFonts w:ascii="Times New Roman" w:hAnsi="Times New Roman" w:cs="Times New Roman"/>
        <w:b w:val="0"/>
        <w:i w:val="0"/>
        <w:caps w:val="0"/>
        <w:color w:val="auto"/>
        <w:u w:val="none"/>
      </w:rPr>
    </w:lvl>
    <w:lvl w:ilvl="4">
      <w:start w:val="1"/>
      <w:numFmt w:val="lowerLetter"/>
      <w:lvlText w:val="%5."/>
      <w:lvlJc w:val="left"/>
      <w:pPr>
        <w:tabs>
          <w:tab w:val="num" w:pos="3600"/>
        </w:tabs>
        <w:ind w:firstLine="2880"/>
      </w:pPr>
      <w:rPr>
        <w:rFonts w:ascii="Times New Roman" w:hAnsi="Times New Roman" w:cs="Times New Roman"/>
        <w:b w:val="0"/>
        <w:i w:val="0"/>
        <w:caps w:val="0"/>
        <w:color w:val="auto"/>
        <w:u w:val="none"/>
      </w:rPr>
    </w:lvl>
    <w:lvl w:ilvl="5">
      <w:start w:val="1"/>
      <w:numFmt w:val="lowerRoman"/>
      <w:lvlText w:val="%6."/>
      <w:lvlJc w:val="left"/>
      <w:pPr>
        <w:tabs>
          <w:tab w:val="num" w:pos="4320"/>
        </w:tabs>
        <w:ind w:firstLine="3600"/>
      </w:pPr>
      <w:rPr>
        <w:rFonts w:ascii="Times New Roman" w:hAnsi="Times New Roman" w:cs="Times New Roman"/>
        <w:b w:val="0"/>
        <w:i w:val="0"/>
        <w:caps w:val="0"/>
        <w:color w:val="auto"/>
        <w:u w:val="none"/>
      </w:rPr>
    </w:lvl>
    <w:lvl w:ilvl="6">
      <w:start w:val="1"/>
      <w:numFmt w:val="decimal"/>
      <w:lvlText w:val="%7)"/>
      <w:lvlJc w:val="left"/>
      <w:pPr>
        <w:tabs>
          <w:tab w:val="num" w:pos="5040"/>
        </w:tabs>
        <w:ind w:firstLine="4320"/>
      </w:pPr>
      <w:rPr>
        <w:rFonts w:ascii="Times New Roman" w:hAnsi="Times New Roman" w:cs="Times New Roman"/>
        <w:b w:val="0"/>
        <w:i w:val="0"/>
        <w:caps w:val="0"/>
        <w:color w:val="auto"/>
        <w:u w:val="none"/>
      </w:rPr>
    </w:lvl>
    <w:lvl w:ilvl="7">
      <w:start w:val="1"/>
      <w:numFmt w:val="lowerLetter"/>
      <w:lvlText w:val="%8)"/>
      <w:lvlJc w:val="left"/>
      <w:pPr>
        <w:tabs>
          <w:tab w:val="num" w:pos="5760"/>
        </w:tabs>
        <w:ind w:firstLine="5040"/>
      </w:pPr>
      <w:rPr>
        <w:rFonts w:ascii="Times New Roman" w:hAnsi="Times New Roman" w:cs="Times New Roman"/>
        <w:b w:val="0"/>
        <w:i w:val="0"/>
        <w:caps w:val="0"/>
        <w:color w:val="auto"/>
        <w:u w:val="none"/>
      </w:rPr>
    </w:lvl>
    <w:lvl w:ilvl="8">
      <w:start w:val="1"/>
      <w:numFmt w:val="lowerRoman"/>
      <w:lvlText w:val="%9)"/>
      <w:lvlJc w:val="left"/>
      <w:pPr>
        <w:tabs>
          <w:tab w:val="num" w:pos="6480"/>
        </w:tabs>
        <w:ind w:firstLine="5760"/>
      </w:pPr>
      <w:rPr>
        <w:rFonts w:ascii="Times New Roman" w:hAnsi="Times New Roman" w:cs="Times New Roman"/>
        <w:b w:val="0"/>
        <w:i w:val="0"/>
        <w:caps w:val="0"/>
        <w:color w:val="auto"/>
        <w:u w:val="none"/>
      </w:rPr>
    </w:lvl>
  </w:abstractNum>
  <w:num w:numId="1">
    <w:abstractNumId w:val="0"/>
  </w:num>
  <w:num w:numId="2">
    <w:abstractNumId w:val="4"/>
  </w:num>
  <w:num w:numId="3">
    <w:abstractNumId w:val="7"/>
  </w:num>
  <w:num w:numId="4">
    <w:abstractNumId w:val="6"/>
  </w:num>
  <w:num w:numId="5">
    <w:abstractNumId w:val="2"/>
  </w:num>
  <w:num w:numId="6">
    <w:abstractNumId w:val="8"/>
  </w:num>
  <w:num w:numId="7">
    <w:abstractNumId w:val="1"/>
  </w:num>
  <w:num w:numId="8">
    <w:abstractNumId w:val="3"/>
  </w:num>
  <w:num w:numId="9">
    <w:abstractNumId w:val="9"/>
  </w:num>
  <w:num w:numId="10">
    <w:abstractNumId w:val="5"/>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20"/>
  <w:removePersonalInformation/>
  <w:stylePaneFormatFilter w:val="3F01"/>
  <w:defaultTabStop w:val="720"/>
  <w:characterSpacingControl w:val="doNotCompress"/>
  <w:hdrShapeDefaults>
    <o:shapedefaults v:ext="edit" spidmax="6145"/>
  </w:hdrShapeDefaults>
  <w:footnotePr>
    <w:footnote w:id="-1"/>
    <w:footnote w:id="0"/>
  </w:footnotePr>
  <w:endnotePr>
    <w:endnote w:id="-1"/>
    <w:endnote w:id="0"/>
  </w:endnotePr>
  <w:compat/>
  <w:docVars>
    <w:docVar w:name="85TrailerDate" w:val="1"/>
    <w:docVar w:name="85TrailerDateField" w:val="0"/>
    <w:docVar w:name="85TrailerDraft" w:val="0"/>
    <w:docVar w:name="85TrailerTime" w:val="0"/>
    <w:docVar w:name="85TrailerType" w:val="100"/>
    <w:docVar w:name="MPDocID" w:val="WPBDOCS 8146972 1"/>
    <w:docVar w:name="MPDocIDTemplate" w:val="%l |%n |%v"/>
    <w:docVar w:name="MPDocIDTemplateDefault" w:val="%l |%n |%v"/>
    <w:docVar w:name="NewDocStampType" w:val="1"/>
  </w:docVar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cs="Times New Roman"/>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zzmpTrailerItem">
    <w:name w:val="zzmpTrailerItem"/>
    <w:basedOn w:val="DefaultParagraphFont"/>
    <w:rPr>
      <w:rFonts w:ascii="Times New Roman" w:hAnsi="Times New Roman" w:cs="Times New Roman"/>
      <w:dstrike w:val="0"/>
      <w:noProof/>
      <w:color w:val="auto"/>
      <w:spacing w:val="0"/>
      <w:position w:val="0"/>
      <w:sz w:val="16"/>
      <w:szCs w:val="16"/>
      <w:u w:val="none"/>
      <w:effect w:val="none"/>
      <w:vertAlign w:val="baseline"/>
    </w:rPr>
  </w:style>
  <w:style w:type="character" w:styleId="PageNumber">
    <w:name w:val="page number"/>
    <w:rPr>
      <w:rFonts w:cs="Times New Roman"/>
    </w:rPr>
  </w:style>
  <w:style w:type="paragraph" w:styleId="ListParagraph">
    <w:name w:val="List Paragraph"/>
    <w:basedOn w:val="Normal"/>
    <w:qFormat/>
    <w:pPr>
      <w:ind w:left="720"/>
    </w:pPr>
  </w:style>
  <w:style w:type="paragraph" w:customStyle="1" w:styleId="NumberListL1">
    <w:name w:val="NumberList_L1"/>
    <w:basedOn w:val="Normal"/>
    <w:pPr>
      <w:numPr>
        <w:numId w:val="9"/>
      </w:numPr>
      <w:spacing w:after="240"/>
      <w:jc w:val="both"/>
      <w:outlineLvl w:val="0"/>
    </w:pPr>
    <w:rPr>
      <w:szCs w:val="20"/>
    </w:rPr>
  </w:style>
  <w:style w:type="paragraph" w:customStyle="1" w:styleId="NumberListL2">
    <w:name w:val="NumberList_L2"/>
    <w:basedOn w:val="NumberListL1"/>
    <w:next w:val="NumberListL1"/>
    <w:pPr>
      <w:numPr>
        <w:ilvl w:val="1"/>
      </w:numPr>
      <w:ind w:firstLine="0"/>
      <w:outlineLvl w:val="1"/>
    </w:pPr>
  </w:style>
  <w:style w:type="character" w:customStyle="1" w:styleId="FooterChar">
    <w:name w:val="Footer Char"/>
    <w:link w:val="Footer"/>
    <w:uiPriority w:val="9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cs="Times New Roman"/>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zzmpTrailerItem">
    <w:name w:val="zzmpTrailerItem"/>
    <w:basedOn w:val="DefaultParagraphFont"/>
    <w:rPr>
      <w:rFonts w:ascii="Times New Roman" w:hAnsi="Times New Roman" w:cs="Times New Roman"/>
      <w:dstrike w:val="0"/>
      <w:noProof/>
      <w:color w:val="auto"/>
      <w:spacing w:val="0"/>
      <w:position w:val="0"/>
      <w:sz w:val="16"/>
      <w:szCs w:val="16"/>
      <w:u w:val="none"/>
      <w:effect w:val="none"/>
      <w:vertAlign w:val="baseline"/>
    </w:rPr>
  </w:style>
  <w:style w:type="character" w:styleId="PageNumber">
    <w:name w:val="page number"/>
    <w:rPr>
      <w:rFonts w:cs="Times New Roman"/>
    </w:rPr>
  </w:style>
  <w:style w:type="paragraph" w:styleId="ListParagraph">
    <w:name w:val="List Paragraph"/>
    <w:basedOn w:val="Normal"/>
    <w:qFormat/>
    <w:pPr>
      <w:ind w:left="720"/>
    </w:pPr>
  </w:style>
  <w:style w:type="paragraph" w:customStyle="1" w:styleId="NumberListL1">
    <w:name w:val="NumberList_L1"/>
    <w:basedOn w:val="Normal"/>
    <w:pPr>
      <w:numPr>
        <w:numId w:val="9"/>
      </w:numPr>
      <w:spacing w:after="240"/>
      <w:jc w:val="both"/>
      <w:outlineLvl w:val="0"/>
    </w:pPr>
    <w:rPr>
      <w:szCs w:val="20"/>
    </w:rPr>
  </w:style>
  <w:style w:type="paragraph" w:customStyle="1" w:styleId="NumberListL2">
    <w:name w:val="NumberList_L2"/>
    <w:basedOn w:val="NumberListL1"/>
    <w:next w:val="NumberListL1"/>
    <w:pPr>
      <w:numPr>
        <w:ilvl w:val="1"/>
      </w:numPr>
      <w:ind w:firstLine="0"/>
      <w:outlineLvl w:val="1"/>
    </w:pPr>
  </w:style>
  <w:style w:type="character" w:customStyle="1" w:styleId="FooterChar">
    <w:name w:val="Footer Char"/>
    <w:link w:val="Footer"/>
    <w:uiPriority w:val="99"/>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578</Words>
  <Characters>3178</Characters>
  <Application>Microsoft Office Word</Application>
  <DocSecurity>0</DocSecurity>
  <Lines>80</Lines>
  <Paragraphs>26</Paragraphs>
  <ScaleCrop>false</ScaleCrop>
  <LinksUpToDate>false</LinksUpToDate>
  <CharactersWithSpaces>3774</CharactersWithSpaces>
  <SharedDoc>false</SharedDoc>
  <HyperlinksChanged>false</HyperlinksChanged>
  <AppVersion>12.0000</AppVersion>
</Properties>
</file>

<file path=docProps/core.xml><?xml version="1.0" encoding="utf-8"?>
<coreProperties xmlns:dc="http://purl.org/dc/elements/1.1/" xmlns:dcterms="http://purl.org/dc/terms/" xmlns:xsi="http://www.w3.org/2001/XMLSchema-instance" xmlns="http://schemas.openxmlformats.org/package/2006/metadata/core-properties">
  <dc:title>LANDLORD-TENANT COMMITTEE</dc:title>
  <dc:creator/>
  <lastModifiedBy/>
  <revision>1</revision>
  <dcterms:created xsi:type="dcterms:W3CDTF">2012-07-25T19:28:44.3279774Z</dcterms:created>
  <dcterms:modified xsi:type="dcterms:W3CDTF">2012-07-25T19:28:44.3279774Z</dcterms:modified>
  <version>0</version>
  <category/>
  <dc:description/>
  <contentStatus/>
  <contentType/>
</coreProperties>
</file>