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pStyle w:val="Body12ptAfter"/>
        <w:rPr>
          <w:b/>
        </w:rPr>
      </w:pPr>
      <w:r>
        <w:rPr>
          <w:b/>
        </w:rPr>
        <w:t>CASE SUMMARY</w:t>
      </w:r>
    </w:p>
    <w:p>
      <w:pPr>
        <w:pStyle w:val="Body"/>
        <w:jc w:val="left"/>
      </w:pPr>
      <w:r>
        <w:t>Winn-Dixie Stores, Inc. v. Big Lots Stores, Inc, --- F.Supp.2d ---, 2012</w:t>
      </w:r>
    </w:p>
    <w:p>
      <w:pPr>
        <w:pStyle w:val="Body12ptAfter"/>
      </w:pPr>
      <w:r>
        <w:t>(2012 WL 3292001 (S.D. Fla.)</w:t>
      </w:r>
    </w:p>
    <w:p>
      <w:pPr>
        <w:pStyle w:val="Body"/>
      </w:pPr>
      <w:r>
        <w:t>By:  Arthur J. Menor</w:t>
      </w:r>
    </w:p>
    <w:p>
      <w:pPr>
        <w:pStyle w:val="Body"/>
      </w:pPr>
      <w:r>
        <w:t>Shutts &amp; Bowen LLP</w:t>
      </w:r>
    </w:p>
    <w:p>
      <w:pPr>
        <w:pStyle w:val="Body"/>
      </w:pPr>
      <w:r>
        <w:t>525 Okeechobee Blvd, Suite 1100</w:t>
      </w:r>
    </w:p>
    <w:p>
      <w:pPr>
        <w:pStyle w:val="Body"/>
      </w:pPr>
      <w:r>
        <w:t>West Palm Beach, Florida 33401</w:t>
      </w:r>
    </w:p>
    <w:p>
      <w:pPr>
        <w:pStyle w:val="Body"/>
      </w:pPr>
      <w:r>
        <w:t>561-650-8510</w:t>
      </w:r>
    </w:p>
    <w:p>
      <w:pPr>
        <w:pStyle w:val="Body12ptAfter"/>
        <w:spacing w:after="480"/>
      </w:pPr>
      <w:hyperlink r:id="rId7" w:history="1">
        <w:r>
          <w:rPr>
            <w:rStyle w:val="Hyperlink"/>
          </w:rPr>
          <w:t>amenor@shutts.com</w:t>
        </w:r>
      </w:hyperlink>
    </w:p>
    <w:p>
      <w:pPr>
        <w:pStyle w:val="TitleBC"/>
      </w:pPr>
      <w:r>
        <w:t>BACKGROUND</w:t>
      </w:r>
    </w:p>
    <w:p>
      <w:pPr>
        <w:pStyle w:val="BodySingleSp5J"/>
      </w:pPr>
      <w:r>
        <w:t>Winn-Dixie, a major grocery store company operating in the Southeastern United States, has been in a “war” with the “dollar store” brands for over ten years regarding violations of Winn-Dixie’s “grocery exclusive”.  Initially, Winn-Dixie filed suits against individual stores that it alleged were violating exclusives.  In most cases, for business reasons, Winn-Dixie did not sue the landlords of the shopping centers in which the offending dollar stores were co-located instead opting for actions against the co-tenants only.</w:t>
      </w:r>
    </w:p>
    <w:p>
      <w:pPr>
        <w:pStyle w:val="BodySingleSp5J"/>
      </w:pPr>
      <w:r>
        <w:t xml:space="preserve">In 2007, Winn-Dixie won a significant victory in </w:t>
      </w:r>
      <w:r>
        <w:rPr>
          <w:i/>
        </w:rPr>
        <w:t>Winn-Dixie Stores, Inc. v. Dolgencorp</w:t>
      </w:r>
      <w:r>
        <w:t>, 964 So. 2d 261 (Fla. 4</w:t>
      </w:r>
      <w:r>
        <w:rPr>
          <w:vertAlign w:val="superscript"/>
        </w:rPr>
        <w:t>th</w:t>
      </w:r>
      <w:r>
        <w:t xml:space="preserve"> DCA 2007) which held that the “grocery exclusive” in that case was a valid and enforceable covenant running with the land that was enforceable against Dollar General.</w:t>
      </w:r>
    </w:p>
    <w:p>
      <w:pPr>
        <w:pStyle w:val="BodySingleSp5J"/>
      </w:pPr>
      <w:r>
        <w:t>Winn-Dixie then decided to pursue a more comprehensive strategy and filed the instant case in Federal Court in the Southern District of Florida in West Palm Beach against Big Lots Stores, Inc., Dolgencorp, LLC, and Dollar Tree Stores, Inc., in connection with shopping centers located in five states -- Florida, Georgia, Alabama, Mississippi, and Louisiana.  This case initially involved 69 Dollar General, 48 Dollar Tree, and 19 Big Lots stores.  The plaintiff ultimately went to trial on a total of 97 of these stores.</w:t>
      </w:r>
    </w:p>
    <w:p>
      <w:pPr>
        <w:pStyle w:val="BodySingleSp5J"/>
      </w:pPr>
      <w:r>
        <w:t>The typical Winn-Dixie grocery exclusive reviewed in this case contains the following key provisions:</w:t>
      </w:r>
    </w:p>
    <w:p>
      <w:pPr>
        <w:pStyle w:val="Body12ptAfter"/>
      </w:pPr>
      <w:r>
        <w:t xml:space="preserve">“Landlord further covenants and agrees not to permit or suffer any property located within the shopping center be used for or occupied by any business dealing in or which shall keep in stock or sell for off-premises consumption any </w:t>
      </w:r>
      <w:r>
        <w:rPr>
          <w:b/>
        </w:rPr>
        <w:t>staple or fancy groceries</w:t>
      </w:r>
      <w:r>
        <w:t xml:space="preserve">, meats fish, vegetables, fruits, bakery goods, dairy products or frozen foods without written permission of the tenant; except the sale of such items in not to exceed the lesser of 500 square feet of </w:t>
      </w:r>
      <w:r>
        <w:rPr>
          <w:b/>
        </w:rPr>
        <w:t>sales area</w:t>
      </w:r>
      <w:r>
        <w:t xml:space="preserve"> or 10% of the square foot area of any storeroom within the shopping center, as an incidental only to the conduct of another business ... shall not be deemed a violation hereof.” [emphasis added]</w:t>
      </w:r>
    </w:p>
    <w:p>
      <w:pPr>
        <w:pStyle w:val="TitleBC"/>
      </w:pPr>
      <w:r>
        <w:lastRenderedPageBreak/>
        <w:t>FINDINGS OF THE COURT</w:t>
      </w:r>
    </w:p>
    <w:p>
      <w:pPr>
        <w:pStyle w:val="Legal2L1"/>
      </w:pPr>
      <w:r>
        <w:rPr>
          <w:b/>
        </w:rPr>
        <w:t>Covenants Running with the Land</w:t>
      </w:r>
      <w:r>
        <w:t xml:space="preserve">.  The Court found that since the defendants are not parties to the leases containing the grocery exclusive the exclusive can only be enforceable against them if it is a real property covenant running with the land.  The Court further found that the exclusive was a real property covenant running with the land under Florida, Georgia, and Alabama law.  This included a finding that the defendants had actual, constructive, or implied actual notice of the exclusives.  </w:t>
      </w:r>
    </w:p>
    <w:p>
      <w:pPr>
        <w:pStyle w:val="BodySingleSp5J"/>
      </w:pPr>
      <w:r>
        <w:t>The Court further found that the exclusive was not enforceable in Louisiana because a clearly expressed intention that a covenant run with the land was not enough under Louisiana law to create an enforceable covenant running with the land.  This finding was not further explained and counsel for Winn-Dixie believes the Court erred.</w:t>
      </w:r>
    </w:p>
    <w:p>
      <w:pPr>
        <w:pStyle w:val="BodySingleSp5J"/>
      </w:pPr>
      <w:r>
        <w:t>Finally, the Court found that the exclusive was not an enforceable covenant running with the land under Mississippi law.  In Mississippi, there must be privity of estate between the party seeking to enforce the covenant and the party against whom enforcement is sought and that level of privity was not found to exist between co-tenants of a shopping center.</w:t>
      </w:r>
    </w:p>
    <w:p>
      <w:pPr>
        <w:pStyle w:val="Legal2L1"/>
      </w:pPr>
      <w:r>
        <w:rPr>
          <w:b/>
        </w:rPr>
        <w:t>Defining the Terms of the Grocery Exclusive</w:t>
      </w:r>
      <w:r>
        <w:t>. The grocery exclusive contains two key terms that were crucial to the outcome of this case – “staple or fancy groceries” and “sales area”.  In addition, the Court had to construe the term “incidental to their business”.</w:t>
      </w:r>
    </w:p>
    <w:p>
      <w:pPr>
        <w:pStyle w:val="Legal2L2"/>
      </w:pPr>
      <w:r>
        <w:rPr>
          <w:b/>
        </w:rPr>
        <w:t>Groceries</w:t>
      </w:r>
      <w:r>
        <w:t xml:space="preserve">.  Winn-Dixie argued that this term should be interpreted to include all items listed in the Consumer Expenditure Study published annually by the Progressive Grocer.  This definition includes both food and non-food items.  However, the Court found that the term was ambiguous since it was not defined in the Lease and can be interpreted in more than one way.  Therefore the term was found to apply to food items only.  Further, the Court decided that beverages, excluding alcoholic beverages, were “food items” and thus groceries. This finding was at odds with the finding of a Florida court in another Winn-Dixie case that groceries included non-food items.  </w:t>
      </w:r>
      <w:r>
        <w:rPr>
          <w:i/>
        </w:rPr>
        <w:t>Winn-Dixie Stores, Inc. v. 99 Cent Stuff-Trial Plaza, LLC</w:t>
      </w:r>
      <w:r>
        <w:t xml:space="preserve">, 811 So.2d 719 (Fla. 3d DCA 2002).   The Court distinguished the </w:t>
      </w:r>
      <w:r>
        <w:rPr>
          <w:i/>
        </w:rPr>
        <w:t>99 Cent</w:t>
      </w:r>
      <w:r>
        <w:t xml:space="preserve"> case.</w:t>
      </w:r>
    </w:p>
    <w:p>
      <w:pPr>
        <w:pStyle w:val="Legal2L2"/>
      </w:pPr>
      <w:r>
        <w:rPr>
          <w:b/>
        </w:rPr>
        <w:t>Sales Area</w:t>
      </w:r>
      <w:r>
        <w:t>.</w:t>
      </w:r>
      <w:r>
        <w:tab/>
        <w:t xml:space="preserve">Winn-Dixie argued that “sales area” includes both the footprint of the display units on which the Restricted Products were displayed and one half of the adjacent aisle space.  The dollar stores countered that the aisle space should not be included.  The Court sided with the dollar stores again having to distinguish a contrary ruling in the </w:t>
      </w:r>
      <w:r>
        <w:rPr>
          <w:i/>
        </w:rPr>
        <w:t>99 Cent</w:t>
      </w:r>
      <w:r>
        <w:t xml:space="preserve"> case.</w:t>
      </w:r>
    </w:p>
    <w:p>
      <w:pPr>
        <w:pStyle w:val="Legal2L2"/>
      </w:pPr>
      <w:r>
        <w:rPr>
          <w:b/>
        </w:rPr>
        <w:t>Incidental</w:t>
      </w:r>
      <w:r>
        <w:t>.</w:t>
      </w:r>
      <w:r>
        <w:tab/>
        <w:t>Winn-Dixie argued that the dollar stores’ sales of Restricted Products were not merely “incidental to their business”.  They contended that the “incidental to their business limitation” is a separate restriction that applies regardless of the size of the area used for the sale of Restricted Products.  The Court rejected these arguments finding (i) this clause not to be an independent restriction but rather coextensive with the clauses referring to the amount of space that could be devoted to the sale of Restricted Products; and (ii) that the clause is ambiguous and impossible to be practically enforced by injunction.</w:t>
      </w:r>
    </w:p>
    <w:p>
      <w:pPr>
        <w:pStyle w:val="Legal2L1"/>
      </w:pPr>
      <w:r>
        <w:rPr>
          <w:b/>
        </w:rPr>
        <w:t>Damages</w:t>
      </w:r>
      <w:r>
        <w:t>.  The Court found that the proposed economic model and regression analysis of Winn-Dixie’s expert to prove damages from a breach of the grocery exclusive was not sufficiently reliable.  The Court found the proposed proof of damages “not calculable to a reasonable certainty” and “too speculative”.  Alternative evidence of damages offered by Winn-Dixie was also found by the Court to fail the burden of proof.</w:t>
      </w:r>
    </w:p>
    <w:p>
      <w:pPr>
        <w:pStyle w:val="Legal2L1"/>
      </w:pPr>
      <w:r>
        <w:rPr>
          <w:b/>
        </w:rPr>
        <w:t>Injunctive Relief</w:t>
      </w:r>
      <w:r>
        <w:t>.  Under Florida law it is not necessary to show irreparable injury to obtain injunctive relief to remedy the violation of a restrictive covenant.  Therefore, Winn-Dixie needed to show that a clear legal right and the inadequacy of a remedy at law.  The Court found that these burdens were met and granted injunctions as to each store found to be in violation of the grocery exclusive after measuring the sales area devoted to Restricted Products as provided in the opinion.</w:t>
      </w:r>
    </w:p>
    <w:p>
      <w:pPr>
        <w:pStyle w:val="Legal2L1"/>
      </w:pPr>
      <w:r>
        <w:rPr>
          <w:b/>
        </w:rPr>
        <w:t>Affirmative Defenses</w:t>
      </w:r>
      <w:r>
        <w:t>.  The Court rejected all affirmative defenses raised by the dollar stores.  In particular, the Court found that the continuing tort theory applied in this case so that the statute of limitations had not run.  The affirmative defense of laches was denied since laches does not come in to play until the statute of limitations has run unless strong equities favor the application of laches and that burden was found not to have been met. Dollar Tree introduced numerous estoppels that Winn-Dixie had executed advising of no know lease violations.  The Court did not find that Dollar Tree relied on these estoppels or other conduct of Winn-Dixie in executing or renewing leases.</w:t>
      </w:r>
    </w:p>
    <w:p>
      <w:pPr>
        <w:pStyle w:val="TitleBC"/>
      </w:pPr>
      <w:r>
        <w:t>NEXT ACTS</w:t>
      </w:r>
    </w:p>
    <w:p>
      <w:pPr>
        <w:pStyle w:val="BodySingleSp5J"/>
      </w:pPr>
      <w:r>
        <w:t xml:space="preserve">Winn-Dixie is appealing this decision.  According to their lead counsel, they feel that the </w:t>
      </w:r>
      <w:r>
        <w:rPr>
          <w:i/>
        </w:rPr>
        <w:t>99 Cent</w:t>
      </w:r>
      <w:r>
        <w:t xml:space="preserve"> case was binding on the Court under </w:t>
      </w:r>
      <w:r>
        <w:rPr>
          <w:i/>
        </w:rPr>
        <w:t>res judicata</w:t>
      </w:r>
      <w:r>
        <w:t xml:space="preserve">.  This should have resulted in the Court adopting their positions on the definitions of groceries and sales area.  They also feel the Court erred in its interpretation of Louisiana law on covenants running with the land.  Finally, they intend to challenge the Court’s rejection of their damages theories. </w:t>
      </w:r>
    </w:p>
    <w:p>
      <w:pPr>
        <w:pStyle w:val="TitleBC"/>
      </w:pPr>
      <w:r>
        <w:t>LESSONS LEARNED</w:t>
      </w:r>
    </w:p>
    <w:p>
      <w:pPr>
        <w:pStyle w:val="Legal2L3"/>
      </w:pPr>
      <w:r>
        <w:t>Define terms with as much precision as possible.</w:t>
      </w:r>
    </w:p>
    <w:p>
      <w:pPr>
        <w:pStyle w:val="Legal2L4"/>
      </w:pPr>
      <w:r>
        <w:t>Groceries.  Refer to a definition such as the Consumer Expenditure Study published annually by the Progressive Grocer.  Exclude or add non-food items depending on the intent.</w:t>
      </w:r>
    </w:p>
    <w:p>
      <w:pPr>
        <w:pStyle w:val="Legal2L4"/>
      </w:pPr>
      <w:r>
        <w:t>Sales Area.  Be clear as to how to measure the affected area including adjacent aisle space.</w:t>
      </w:r>
    </w:p>
    <w:p>
      <w:pPr>
        <w:pStyle w:val="Legal2L4"/>
      </w:pPr>
      <w:r>
        <w:t>Incidental Use.  Define as a separate limitation.  Is it possible to define this concept with the type of specificity that will pass legal muster for enforcement by injunction?</w:t>
      </w:r>
    </w:p>
    <w:p>
      <w:pPr>
        <w:pStyle w:val="Legal2L3"/>
        <w:keepNext/>
        <w:keepLines/>
      </w:pPr>
      <w:r>
        <w:t xml:space="preserve">Consider adding specific remedies for breach of the exclusive use.  </w:t>
      </w:r>
    </w:p>
    <w:p>
      <w:pPr>
        <w:pStyle w:val="Legal2L4"/>
      </w:pPr>
      <w:r>
        <w:t>Consider liquidated damages alternatives.  Can the damages provisions also “run with the land” and thus be applicable to breaches of the exclusive by co-tenants without privity of contract?</w:t>
      </w:r>
    </w:p>
    <w:p>
      <w:pPr>
        <w:pStyle w:val="Legal2L4"/>
      </w:pPr>
      <w:r>
        <w:t>Consider giving the Landlord the right to assign to the benefitted Tenant the Landlord’s rights against breaching co-tenants?</w:t>
      </w:r>
    </w:p>
    <w:sectPr>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8183092 2</w:t>
    </w:r>
    <w:r>
      <w:t xml:space="preserve"> </w:t>
    </w:r>
    <w:r>
      <w:tab/>
    </w:r>
    <w:fldSimple w:instr=" PAGE   \* MERGEFORMAT ">
      <w:r>
        <w:rPr>
          <w:noProof/>
        </w:rPr>
        <w:t>3</w:t>
      </w:r>
    </w:fldSimple>
  </w:p>
  <w:p>
    <w:pPr>
      <w:pStyle w:val="Footer"/>
    </w:pPr>
    <w:r>
      <w:rPr>
        <w:rStyle w:val="zzmpTrailerItem"/>
      </w:rPr>
      <w:t>10/2/12</w:t>
    </w:r>
    <w:r>
      <w:t xml:space="preserve"> </w:t>
    </w:r>
  </w:p>
</w:ftr>
</file>

<file path=word/footer2.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8183092 2</w:t>
    </w:r>
    <w:r>
      <w:t xml:space="preserve"> </w:t>
    </w:r>
  </w:p>
  <w:p>
    <w:pPr>
      <w:pStyle w:val="Footer"/>
    </w:pPr>
    <w:r>
      <w:rPr>
        <w:rStyle w:val="zzmpTrailerItem"/>
      </w:rPr>
      <w:t>10/2/12</w:t>
    </w:r>
    <w:r>
      <w:t xml:space="preserve"> </w:t>
    </w: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F401F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EAAE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36BD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882D8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1E3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ED354A"/>
    <w:multiLevelType w:val="multilevel"/>
    <w:tmpl w:val="5BC4FEF8"/>
    <w:name w:val="zzmpLegal2||Legal2|2|3|1|1|0|9||1|0|1||1|0|1||1|0|1||1|0|0||1|0|0||1|0|0||1|0|0||1|0|0||"/>
    <w:lvl w:ilvl="0">
      <w:start w:val="1"/>
      <w:numFmt w:val="decimal"/>
      <w:pStyle w:val="Legal2L1"/>
      <w:lvlText w:val="%1."/>
      <w:lvlJc w:val="left"/>
      <w:pPr>
        <w:tabs>
          <w:tab w:val="num" w:pos="1440"/>
        </w:tabs>
        <w:ind w:left="0" w:firstLine="720"/>
      </w:pPr>
      <w:rPr>
        <w:rFonts w:ascii="Times New Roman" w:hAnsi="Times New Roman" w:cs="Times New Roman"/>
        <w:b w:val="0"/>
        <w:i w:val="0"/>
        <w:caps/>
        <w:smallCaps w:val="0"/>
        <w:sz w:val="24"/>
        <w:u w:val="none"/>
      </w:rPr>
    </w:lvl>
    <w:lvl w:ilvl="1">
      <w:start w:val="1"/>
      <w:numFmt w:val="decimal"/>
      <w:pStyle w:val="Legal2L2"/>
      <w:isLgl/>
      <w:lvlText w:val="%1.%2"/>
      <w:lvlJc w:val="left"/>
      <w:pPr>
        <w:tabs>
          <w:tab w:val="num" w:pos="2160"/>
        </w:tabs>
        <w:ind w:left="0" w:firstLine="1440"/>
      </w:pPr>
      <w:rPr>
        <w:rFonts w:ascii="Times New Roman" w:hAnsi="Times New Roman" w:cs="Times New Roman"/>
        <w:b w:val="0"/>
        <w:i w:val="0"/>
        <w:caps w:val="0"/>
        <w:sz w:val="24"/>
        <w:u w:val="none"/>
      </w:rPr>
    </w:lvl>
    <w:lvl w:ilvl="2">
      <w:start w:val="1"/>
      <w:numFmt w:val="decimal"/>
      <w:pStyle w:val="Legal2L3"/>
      <w:lvlText w:val="%3."/>
      <w:lvlJc w:val="left"/>
      <w:pPr>
        <w:tabs>
          <w:tab w:val="num" w:pos="1440"/>
        </w:tabs>
        <w:ind w:left="0" w:firstLine="720"/>
      </w:pPr>
      <w:rPr>
        <w:rFonts w:ascii="Times New Roman" w:hAnsi="Times New Roman" w:cs="Times New Roman"/>
        <w:b w:val="0"/>
        <w:i w:val="0"/>
        <w:caps w:val="0"/>
        <w:sz w:val="24"/>
        <w:u w:val="none"/>
      </w:rPr>
    </w:lvl>
    <w:lvl w:ilvl="3">
      <w:start w:val="1"/>
      <w:numFmt w:val="lowerLetter"/>
      <w:pStyle w:val="Legal2L4"/>
      <w:lvlText w:val="(%4)"/>
      <w:lvlJc w:val="left"/>
      <w:pPr>
        <w:tabs>
          <w:tab w:val="num" w:pos="2160"/>
        </w:tabs>
        <w:ind w:left="0" w:firstLine="1440"/>
      </w:pPr>
      <w:rPr>
        <w:rFonts w:ascii="Times New Roman" w:hAnsi="Times New Roman" w:cs="Times New Roman"/>
        <w:b w:val="0"/>
        <w:i w:val="0"/>
        <w:caps w:val="0"/>
        <w:sz w:val="24"/>
        <w:u w:val="none"/>
      </w:rPr>
    </w:lvl>
    <w:lvl w:ilvl="4">
      <w:start w:val="1"/>
      <w:numFmt w:val="decimal"/>
      <w:pStyle w:val="Legal2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lowerLetter"/>
      <w:pStyle w:val="Legal2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lowerRoman"/>
      <w:pStyle w:val="Legal2L7"/>
      <w:lvlText w:val="%7."/>
      <w:lvlJc w:val="left"/>
      <w:pPr>
        <w:tabs>
          <w:tab w:val="num" w:pos="5040"/>
        </w:tabs>
        <w:ind w:left="0" w:firstLine="4320"/>
      </w:pPr>
      <w:rPr>
        <w:rFonts w:ascii="Times New Roman" w:hAnsi="Times New Roman" w:cs="Times New Roman"/>
        <w:b w:val="0"/>
        <w:i w:val="0"/>
        <w:caps w:val="0"/>
        <w:sz w:val="24"/>
        <w:u w:val="none"/>
      </w:rPr>
    </w:lvl>
    <w:lvl w:ilvl="7">
      <w:start w:val="1"/>
      <w:numFmt w:val="lowerLetter"/>
      <w:pStyle w:val="Legal2L8"/>
      <w:lvlText w:val="%8)"/>
      <w:lvlJc w:val="left"/>
      <w:pPr>
        <w:tabs>
          <w:tab w:val="num" w:pos="5760"/>
        </w:tabs>
        <w:ind w:left="0" w:firstLine="5040"/>
      </w:pPr>
      <w:rPr>
        <w:rFonts w:ascii="Times New Roman" w:hAnsi="Times New Roman" w:cs="Times New Roman"/>
        <w:b w:val="0"/>
        <w:i w:val="0"/>
        <w:caps w:val="0"/>
        <w:sz w:val="24"/>
        <w:u w:val="none"/>
      </w:rPr>
    </w:lvl>
    <w:lvl w:ilvl="8">
      <w:start w:val="1"/>
      <w:numFmt w:val="lowerRoman"/>
      <w:pStyle w:val="Legal2L9"/>
      <w:lvlText w:val="%9)"/>
      <w:lvlJc w:val="left"/>
      <w:pPr>
        <w:tabs>
          <w:tab w:val="num" w:pos="6480"/>
        </w:tabs>
        <w:ind w:left="0" w:firstLine="5760"/>
      </w:pPr>
      <w:rPr>
        <w:rFonts w:ascii="Times New Roman" w:hAnsi="Times New Roman" w:cs="Times New Roman"/>
        <w:b w:val="0"/>
        <w:i w:val="0"/>
        <w:caps w:val="0"/>
        <w:sz w:val="24"/>
        <w:u w:val="none"/>
      </w:rPr>
    </w:lvl>
  </w:abstractNum>
  <w:abstractNum w:abstractNumId="11">
    <w:nsid w:val="442A3D9E"/>
    <w:multiLevelType w:val="multilevel"/>
    <w:tmpl w:val="2C36A1F8"/>
    <w:lvl w:ilvl="0">
      <w:start w:val="1"/>
      <w:numFmt w:val="decimal"/>
      <w:pStyle w:val="Contents1"/>
      <w:lvlText w:val="%1"/>
      <w:lvlJc w:val="left"/>
      <w:pPr>
        <w:tabs>
          <w:tab w:val="num" w:pos="1134"/>
        </w:tabs>
        <w:ind w:left="1134" w:hanging="1134"/>
      </w:pPr>
      <w:rPr>
        <w:rFonts w:ascii="Arial" w:hAnsi="Arial" w:hint="default"/>
      </w:rPr>
    </w:lvl>
    <w:lvl w:ilvl="1">
      <w:start w:val="1"/>
      <w:numFmt w:val="decimal"/>
      <w:pStyle w:val="Contents2"/>
      <w:lvlText w:val="%1.%2"/>
      <w:lvlJc w:val="left"/>
      <w:pPr>
        <w:tabs>
          <w:tab w:val="num" w:pos="2268"/>
        </w:tabs>
        <w:ind w:left="2268" w:hanging="1134"/>
      </w:pPr>
      <w:rPr>
        <w:rFonts w:ascii="Arial" w:hAnsi="Arial" w:hint="default"/>
      </w:rPr>
    </w:lvl>
    <w:lvl w:ilvl="2">
      <w:start w:val="1"/>
      <w:numFmt w:val="decimal"/>
      <w:lvlText w:val="%1.%2.%3"/>
      <w:lvlJc w:val="left"/>
      <w:pPr>
        <w:tabs>
          <w:tab w:val="num" w:pos="0"/>
        </w:tabs>
        <w:ind w:left="3402" w:hanging="1134"/>
      </w:pPr>
      <w:rPr>
        <w:rFonts w:ascii="Times New Roman" w:hAnsi="Times New Roman" w:hint="default"/>
      </w:rPr>
    </w:lvl>
    <w:lvl w:ilvl="3">
      <w:start w:val="1"/>
      <w:numFmt w:val="decimal"/>
      <w:lvlText w:val="%1.%2.%3.%4"/>
      <w:lvlJc w:val="left"/>
      <w:pPr>
        <w:tabs>
          <w:tab w:val="num" w:pos="0"/>
        </w:tabs>
        <w:ind w:left="4536" w:hanging="1134"/>
      </w:pPr>
      <w:rPr>
        <w:rFonts w:ascii="Times New Roman" w:hAnsi="Times New Roman" w:hint="default"/>
      </w:rPr>
    </w:lvl>
    <w:lvl w:ilvl="4">
      <w:start w:val="1"/>
      <w:numFmt w:val="decimal"/>
      <w:lvlText w:val="%1.%2.%3.%4.%5"/>
      <w:lvlJc w:val="left"/>
      <w:pPr>
        <w:tabs>
          <w:tab w:val="num" w:pos="0"/>
        </w:tabs>
        <w:ind w:left="5670" w:hanging="1134"/>
      </w:pPr>
      <w:rPr>
        <w:rFonts w:ascii="Times New Roman" w:hAnsi="Times New Roman" w:hint="default"/>
      </w:rPr>
    </w:lvl>
    <w:lvl w:ilvl="5">
      <w:start w:val="1"/>
      <w:numFmt w:val="decimal"/>
      <w:lvlText w:val="%1.%2.%3.%4.%5.%6"/>
      <w:lvlJc w:val="left"/>
      <w:pPr>
        <w:tabs>
          <w:tab w:val="num" w:pos="0"/>
        </w:tabs>
        <w:ind w:left="6804" w:hanging="1134"/>
      </w:pPr>
      <w:rPr>
        <w:rFonts w:ascii="Times New Roman" w:hAnsi="Times New Roman" w:hint="default"/>
      </w:rPr>
    </w:lvl>
    <w:lvl w:ilvl="6">
      <w:start w:val="1"/>
      <w:numFmt w:val="decimal"/>
      <w:lvlText w:val="%1.%2.%3.%4.%5.%6.%7"/>
      <w:lvlJc w:val="left"/>
      <w:pPr>
        <w:tabs>
          <w:tab w:val="num" w:pos="0"/>
        </w:tabs>
        <w:ind w:left="7938" w:hanging="1134"/>
      </w:pPr>
      <w:rPr>
        <w:rFonts w:ascii="Times New Roman" w:hAnsi="Times New Roman" w:hint="default"/>
      </w:rPr>
    </w:lvl>
    <w:lvl w:ilvl="7">
      <w:start w:val="1"/>
      <w:numFmt w:val="decimal"/>
      <w:lvlText w:val="%1.%2.%3.%4.%5.%6.%7.%8"/>
      <w:lvlJc w:val="left"/>
      <w:pPr>
        <w:tabs>
          <w:tab w:val="num" w:pos="0"/>
        </w:tabs>
        <w:ind w:left="9072" w:hanging="1134"/>
      </w:pPr>
      <w:rPr>
        <w:rFonts w:ascii="Times New Roman" w:hAnsi="Times New Roman" w:hint="default"/>
      </w:rPr>
    </w:lvl>
    <w:lvl w:ilvl="8">
      <w:start w:val="1"/>
      <w:numFmt w:val="decimal"/>
      <w:lvlText w:val="%1.%2.%3.%4.%5.%6.%7.%8.%9"/>
      <w:lvlJc w:val="left"/>
      <w:pPr>
        <w:tabs>
          <w:tab w:val="num" w:pos="0"/>
        </w:tabs>
        <w:ind w:left="10206" w:hanging="1134"/>
      </w:pPr>
      <w:rPr>
        <w:rFonts w:ascii="Times New Roman" w:hAnsi="Times New Roman"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1"/>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IdMacAtCleanup w:val="11"/>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val="bestFit" w:percent="221"/>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85TrailerClientMatter" w:val="0"/>
    <w:docVar w:name="85TrailerDate" w:val="1"/>
    <w:docVar w:name="85TrailerDateField" w:val="0"/>
    <w:docVar w:name="85TrailerDraft" w:val="0"/>
    <w:docVar w:name="85TrailerTime" w:val="0"/>
    <w:docVar w:name="85TrailerType" w:val="100"/>
    <w:docVar w:name="DocStamp_1_OptionalControlValues" w:val="ClientMatter|&amp;Client/Matter|0|%cm"/>
    <w:docVar w:name="MPDocID" w:val="WPBDOCS 8183092 2"/>
    <w:docVar w:name="MPDocIDTemplate" w:val="%l |%n |%v"/>
    <w:docVar w:name="MPDocIDTemplateDefault" w:val="%l |%n |%v| %c.%m"/>
    <w:docVar w:name="NewDocStampType" w:val="1"/>
    <w:docVar w:name="zzmpFixedCurScheme" w:val="Legal2"/>
    <w:docVar w:name="zzmpFixedCurScheme_9.0" w:val="2zzmpLegal2"/>
    <w:docVar w:name="zzmpLegal2" w:val="||Legal2|2|3|1|1|0|9||1|0|1||1|0|1||1|0|1||1|0|0||1|0|0||1|0|0||1|0|0||1|0|0||"/>
    <w:docVar w:name="zzmpLTFontsClean" w:val="True"/>
    <w:docVar w:name="zzmpnSession" w:val="4.391116E-02"/>
  </w:docVar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nhideWhenUsed="1"/>
    <w:lsdException w:name="header" w:semiHidden="1" w:unhideWhenUsed="1"/>
    <w:lsdException w:name="footer" w:semiHidden="1" w:unhideWhenUsed="1"/>
    <w:lsdException w:name="caption" w:semiHidden="1" w:unhideWhenUsed="1" w:qFormat="1"/>
    <w:lsdException w:name="footnote reference" w:semiHidden="1" w:unhideWhenUsed="1"/>
    <w:lsdException w:name="List Bullet" w:semiHidden="1" w:unhideWhenUsed="1" w:qFormat="1"/>
    <w:lsdException w:name="List Number"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Subtitle" w:qFormat="1"/>
    <w:lsdException w:name="Body Text 2" w:semiHidden="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pPr>
      <w:keepNext/>
      <w:spacing w:before="240" w:after="60"/>
      <w:outlineLvl w:val="2"/>
    </w:pPr>
    <w:rPr>
      <w:rFonts w:ascii="Arial" w:hAnsi="Arial" w:cs="Arial"/>
      <w:b/>
      <w:bCs/>
      <w:sz w:val="26"/>
      <w:szCs w:val="26"/>
    </w:rPr>
  </w:style>
  <w:style w:type="paragraph" w:styleId="Heading4">
    <w:name w:val="heading 4"/>
    <w:basedOn w:val="Normal"/>
    <w:next w:val="Normal"/>
    <w:link w:val="Heading4Char"/>
    <w:pPr>
      <w:keepNext/>
      <w:spacing w:before="240" w:after="60"/>
      <w:outlineLvl w:val="3"/>
    </w:pPr>
    <w:rPr>
      <w:b/>
      <w:bCs/>
      <w:sz w:val="28"/>
      <w:szCs w:val="28"/>
    </w:rPr>
  </w:style>
  <w:style w:type="paragraph" w:styleId="Heading5">
    <w:name w:val="heading 5"/>
    <w:basedOn w:val="Normal"/>
    <w:next w:val="Normal"/>
    <w:link w:val="Heading5Char"/>
    <w:pPr>
      <w:spacing w:before="240" w:after="60"/>
      <w:outlineLvl w:val="4"/>
    </w:pPr>
    <w:rPr>
      <w:b/>
      <w:bCs/>
      <w:i/>
      <w:iCs/>
      <w:sz w:val="26"/>
      <w:szCs w:val="26"/>
    </w:rPr>
  </w:style>
  <w:style w:type="paragraph" w:styleId="Heading6">
    <w:name w:val="heading 6"/>
    <w:basedOn w:val="Normal"/>
    <w:next w:val="Normal"/>
    <w:link w:val="Heading6Char"/>
    <w:pPr>
      <w:spacing w:before="240" w:after="60"/>
      <w:outlineLvl w:val="5"/>
    </w:pPr>
    <w:rPr>
      <w:b/>
      <w:bCs/>
      <w:sz w:val="22"/>
      <w:szCs w:val="22"/>
    </w:rPr>
  </w:style>
  <w:style w:type="paragraph" w:styleId="Heading7">
    <w:name w:val="heading 7"/>
    <w:basedOn w:val="Normal"/>
    <w:next w:val="Normal"/>
    <w:link w:val="Heading7Char"/>
    <w:pPr>
      <w:spacing w:before="240" w:after="60"/>
      <w:outlineLvl w:val="6"/>
    </w:pPr>
  </w:style>
  <w:style w:type="paragraph" w:styleId="Heading8">
    <w:name w:val="heading 8"/>
    <w:basedOn w:val="Normal"/>
    <w:next w:val="Normal"/>
    <w:link w:val="Heading8Char"/>
    <w:pPr>
      <w:spacing w:before="240" w:after="60"/>
      <w:outlineLvl w:val="7"/>
    </w:pPr>
    <w:rPr>
      <w:i/>
      <w:iCs/>
    </w:rPr>
  </w:style>
  <w:style w:type="paragraph" w:styleId="Heading9">
    <w:name w:val="heading 9"/>
    <w:basedOn w:val="Normal"/>
    <w:next w:val="Normal"/>
    <w:link w:val="Heading9Char"/>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spacing w:after="240"/>
      <w:ind w:firstLine="720"/>
    </w:pPr>
  </w:style>
  <w:style w:type="character" w:customStyle="1" w:styleId="BodyTextChar">
    <w:name w:val="Body Text Char"/>
    <w:basedOn w:val="DefaultParagraphFont"/>
    <w:link w:val="BodyText"/>
    <w:rPr>
      <w:sz w:val="24"/>
      <w:szCs w:val="24"/>
    </w:r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link w:val="QuoteChar"/>
    <w:qFormat/>
    <w:pPr>
      <w:spacing w:after="240"/>
      <w:ind w:left="1440" w:right="1440"/>
    </w:pPr>
    <w:rPr>
      <w:szCs w:val="20"/>
    </w:rPr>
  </w:style>
  <w:style w:type="character" w:customStyle="1" w:styleId="QuoteChar">
    <w:name w:val="Quote Char"/>
    <w:basedOn w:val="DefaultParagraphFont"/>
    <w:link w:val="Quote"/>
    <w:rPr>
      <w:sz w:val="24"/>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szCs w:val="24"/>
    </w:rPr>
  </w:style>
  <w:style w:type="character" w:styleId="PageNumber">
    <w:name w:val="page number"/>
    <w:basedOn w:val="DefaultParagraphFont"/>
  </w:style>
  <w:style w:type="paragraph" w:customStyle="1" w:styleId="Body">
    <w:name w:val="Body"/>
    <w:basedOn w:val="Normal"/>
    <w:qFormat/>
    <w:pPr>
      <w:jc w:val="both"/>
    </w:pPr>
  </w:style>
  <w:style w:type="paragraph" w:customStyle="1" w:styleId="TitleBUAC">
    <w:name w:val="Title BUAC"/>
    <w:basedOn w:val="Normal"/>
    <w:next w:val="Body"/>
    <w:qFormat/>
    <w:pPr>
      <w:keepNext/>
      <w:spacing w:after="240"/>
      <w:jc w:val="center"/>
      <w:outlineLvl w:val="0"/>
    </w:pPr>
    <w:rPr>
      <w:b/>
      <w:caps/>
      <w:u w:val="single"/>
    </w:rPr>
  </w:style>
  <w:style w:type="paragraph" w:customStyle="1" w:styleId="BodyDblSp">
    <w:name w:val="Body Dbl Sp"/>
    <w:basedOn w:val="Normal"/>
    <w:qFormat/>
    <w:pPr>
      <w:spacing w:line="480" w:lineRule="auto"/>
    </w:pPr>
  </w:style>
  <w:style w:type="paragraph" w:customStyle="1" w:styleId="BodyDblSp5">
    <w:name w:val="Body Dbl Sp .5"/>
    <w:basedOn w:val="Normal"/>
    <w:qFormat/>
    <w:pPr>
      <w:spacing w:line="480" w:lineRule="auto"/>
      <w:ind w:firstLine="720"/>
    </w:pPr>
  </w:style>
  <w:style w:type="paragraph" w:customStyle="1" w:styleId="BodyDblSp5J">
    <w:name w:val="Body Dbl Sp .5 J"/>
    <w:basedOn w:val="Normal"/>
    <w:qFormat/>
    <w:pPr>
      <w:spacing w:line="480" w:lineRule="auto"/>
      <w:ind w:firstLine="720"/>
      <w:jc w:val="both"/>
    </w:pPr>
  </w:style>
  <w:style w:type="paragraph" w:customStyle="1" w:styleId="BodyDblSp1">
    <w:name w:val="Body Dbl Sp 1"/>
    <w:basedOn w:val="Normal"/>
    <w:qFormat/>
    <w:pPr>
      <w:spacing w:line="480" w:lineRule="auto"/>
      <w:ind w:firstLine="1440"/>
    </w:pPr>
  </w:style>
  <w:style w:type="paragraph" w:customStyle="1" w:styleId="BodyDblSp1J">
    <w:name w:val="Body Dbl Sp 1 J"/>
    <w:basedOn w:val="Normal"/>
    <w:qFormat/>
    <w:pPr>
      <w:spacing w:line="480" w:lineRule="auto"/>
      <w:ind w:firstLine="1440"/>
      <w:jc w:val="both"/>
    </w:pPr>
  </w:style>
  <w:style w:type="paragraph" w:customStyle="1" w:styleId="BodyDblSpJ">
    <w:name w:val="Body Dbl Sp J"/>
    <w:basedOn w:val="Normal"/>
    <w:qFormat/>
    <w:pPr>
      <w:spacing w:line="480" w:lineRule="auto"/>
      <w:jc w:val="both"/>
    </w:pPr>
  </w:style>
  <w:style w:type="paragraph" w:customStyle="1" w:styleId="BodySingleSp5">
    <w:name w:val="Body Single Sp .5"/>
    <w:basedOn w:val="Normal"/>
    <w:qFormat/>
    <w:pPr>
      <w:spacing w:after="240"/>
      <w:ind w:firstLine="720"/>
    </w:pPr>
  </w:style>
  <w:style w:type="paragraph" w:customStyle="1" w:styleId="BodySingleSp5J">
    <w:name w:val="Body Single Sp .5 J"/>
    <w:basedOn w:val="Normal"/>
    <w:qFormat/>
    <w:pPr>
      <w:spacing w:after="240"/>
      <w:ind w:firstLine="720"/>
      <w:jc w:val="both"/>
    </w:pPr>
  </w:style>
  <w:style w:type="paragraph" w:customStyle="1" w:styleId="BodySingleSp1">
    <w:name w:val="Body Single Sp 1"/>
    <w:basedOn w:val="Normal"/>
    <w:qFormat/>
    <w:pPr>
      <w:spacing w:after="240"/>
      <w:ind w:firstLine="1440"/>
    </w:pPr>
  </w:style>
  <w:style w:type="paragraph" w:customStyle="1" w:styleId="BodySingleSp1J">
    <w:name w:val="Body Single Sp 1 J"/>
    <w:basedOn w:val="Normal"/>
    <w:qFormat/>
    <w:pPr>
      <w:spacing w:after="240"/>
      <w:ind w:firstLine="1440"/>
      <w:jc w:val="both"/>
    </w:pPr>
  </w:style>
  <w:style w:type="paragraph" w:customStyle="1" w:styleId="BodySingleSpJ">
    <w:name w:val="Body Single Sp J"/>
    <w:basedOn w:val="Normal"/>
    <w:qFormat/>
    <w:pPr>
      <w:spacing w:after="240"/>
      <w:jc w:val="both"/>
    </w:pPr>
  </w:style>
  <w:style w:type="paragraph" w:customStyle="1" w:styleId="TitleBC">
    <w:name w:val="Title BC"/>
    <w:basedOn w:val="Normal"/>
    <w:next w:val="Body"/>
    <w:qFormat/>
    <w:pPr>
      <w:keepNext/>
      <w:spacing w:after="240"/>
      <w:jc w:val="center"/>
      <w:outlineLvl w:val="0"/>
    </w:pPr>
    <w:rPr>
      <w:b/>
    </w:rPr>
  </w:style>
  <w:style w:type="paragraph" w:customStyle="1" w:styleId="TitleBCA">
    <w:name w:val="Title BCA"/>
    <w:basedOn w:val="Normal"/>
    <w:next w:val="Body"/>
    <w:qFormat/>
    <w:pPr>
      <w:keepNext/>
      <w:spacing w:after="240"/>
      <w:jc w:val="center"/>
      <w:outlineLvl w:val="0"/>
    </w:pPr>
    <w:rPr>
      <w:b/>
      <w:caps/>
    </w:rPr>
  </w:style>
  <w:style w:type="paragraph" w:customStyle="1" w:styleId="TitleBL">
    <w:name w:val="Title BL"/>
    <w:basedOn w:val="Normal"/>
    <w:next w:val="Body"/>
    <w:qFormat/>
    <w:pPr>
      <w:keepNext/>
      <w:spacing w:after="240"/>
      <w:outlineLvl w:val="0"/>
    </w:pPr>
    <w:rPr>
      <w:b/>
    </w:rPr>
  </w:style>
  <w:style w:type="paragraph" w:customStyle="1" w:styleId="TitleBUAL">
    <w:name w:val="Title BUAL"/>
    <w:basedOn w:val="Normal"/>
    <w:next w:val="Body"/>
    <w:qFormat/>
    <w:pPr>
      <w:keepNext/>
      <w:spacing w:after="240"/>
      <w:outlineLvl w:val="0"/>
    </w:pPr>
    <w:rPr>
      <w:b/>
      <w:caps/>
      <w:u w:val="single"/>
    </w:rPr>
  </w:style>
  <w:style w:type="paragraph" w:customStyle="1" w:styleId="TitleBUC">
    <w:name w:val="Title BUC"/>
    <w:basedOn w:val="Normal"/>
    <w:next w:val="Body"/>
    <w:qFormat/>
    <w:pPr>
      <w:keepNext/>
      <w:spacing w:after="240"/>
      <w:jc w:val="center"/>
      <w:outlineLvl w:val="0"/>
    </w:pPr>
    <w:rPr>
      <w:b/>
      <w:u w:val="single"/>
    </w:rPr>
  </w:style>
  <w:style w:type="paragraph" w:customStyle="1" w:styleId="TitleBUL">
    <w:name w:val="Title BUL"/>
    <w:basedOn w:val="Normal"/>
    <w:next w:val="Body"/>
    <w:qFormat/>
    <w:pPr>
      <w:keepNext/>
      <w:spacing w:after="240"/>
      <w:outlineLvl w:val="0"/>
    </w:pPr>
    <w:rPr>
      <w:b/>
      <w:u w:val="single"/>
    </w:rPr>
  </w:style>
  <w:style w:type="paragraph" w:customStyle="1" w:styleId="TitleC">
    <w:name w:val="Title C"/>
    <w:basedOn w:val="Normal"/>
    <w:next w:val="Body"/>
    <w:qFormat/>
    <w:pPr>
      <w:keepNext/>
      <w:spacing w:after="240"/>
      <w:jc w:val="center"/>
      <w:outlineLvl w:val="0"/>
    </w:pPr>
  </w:style>
  <w:style w:type="paragraph" w:customStyle="1" w:styleId="TitleL">
    <w:name w:val="Title L"/>
    <w:basedOn w:val="Normal"/>
    <w:next w:val="Body"/>
    <w:qFormat/>
    <w:pPr>
      <w:keepNext/>
      <w:spacing w:after="240"/>
      <w:outlineLvl w:val="0"/>
    </w:pPr>
  </w:style>
  <w:style w:type="paragraph" w:customStyle="1" w:styleId="TitleUC">
    <w:name w:val="Title UC"/>
    <w:basedOn w:val="Normal"/>
    <w:next w:val="Body"/>
    <w:qFormat/>
    <w:pPr>
      <w:keepNext/>
      <w:spacing w:after="240"/>
      <w:jc w:val="center"/>
      <w:outlineLvl w:val="0"/>
    </w:pPr>
    <w:rPr>
      <w:u w:val="single"/>
    </w:rPr>
  </w:style>
  <w:style w:type="paragraph" w:customStyle="1" w:styleId="TitleUL">
    <w:name w:val="Title UL"/>
    <w:basedOn w:val="Normal"/>
    <w:next w:val="Body"/>
    <w:qFormat/>
    <w:pPr>
      <w:keepNext/>
      <w:spacing w:after="240"/>
      <w:outlineLvl w:val="0"/>
    </w:pPr>
    <w:rPr>
      <w:u w:val="single"/>
    </w:rPr>
  </w:style>
  <w:style w:type="paragraph" w:customStyle="1" w:styleId="Quote55">
    <w:name w:val="Quote .5/.5"/>
    <w:basedOn w:val="Normal"/>
    <w:next w:val="Body"/>
    <w:qFormat/>
    <w:pPr>
      <w:spacing w:after="240"/>
      <w:ind w:left="720" w:right="720"/>
    </w:pPr>
  </w:style>
  <w:style w:type="paragraph" w:customStyle="1" w:styleId="Quote55J">
    <w:name w:val="Quote .5/.5 J"/>
    <w:basedOn w:val="Normal"/>
    <w:next w:val="Body"/>
    <w:qFormat/>
    <w:pPr>
      <w:spacing w:after="240"/>
      <w:ind w:left="720" w:right="720"/>
      <w:jc w:val="both"/>
    </w:pPr>
  </w:style>
  <w:style w:type="paragraph" w:customStyle="1" w:styleId="Quote11">
    <w:name w:val="Quote 1/1"/>
    <w:basedOn w:val="Normal"/>
    <w:next w:val="Body"/>
    <w:qFormat/>
    <w:pPr>
      <w:spacing w:after="240"/>
      <w:ind w:left="1440" w:right="1440"/>
    </w:pPr>
  </w:style>
  <w:style w:type="paragraph" w:customStyle="1" w:styleId="Quote11J">
    <w:name w:val="Quote 1/1 J"/>
    <w:basedOn w:val="Normal"/>
    <w:next w:val="Body"/>
    <w:qFormat/>
    <w:pPr>
      <w:spacing w:after="240"/>
      <w:ind w:left="1440" w:right="1440"/>
      <w:jc w:val="both"/>
    </w:pPr>
  </w:style>
  <w:style w:type="paragraph" w:styleId="Signature">
    <w:name w:val="Signature"/>
    <w:basedOn w:val="Normal"/>
    <w:link w:val="SignatureChar"/>
    <w:qFormat/>
    <w:pPr>
      <w:tabs>
        <w:tab w:val="left" w:pos="4824"/>
        <w:tab w:val="right" w:leader="underscore" w:pos="9360"/>
      </w:tabs>
      <w:ind w:left="4320"/>
    </w:pPr>
  </w:style>
  <w:style w:type="character" w:customStyle="1" w:styleId="SignatureChar">
    <w:name w:val="Signature Char"/>
    <w:basedOn w:val="DefaultParagraphFont"/>
    <w:link w:val="Signature"/>
    <w:rPr>
      <w:sz w:val="24"/>
      <w:szCs w:val="24"/>
    </w:rPr>
  </w:style>
  <w:style w:type="paragraph" w:styleId="ListBullet">
    <w:name w:val="List Bullet"/>
    <w:basedOn w:val="Normal"/>
    <w:qFormat/>
    <w:pPr>
      <w:numPr>
        <w:numId w:val="1"/>
      </w:numPr>
    </w:pPr>
  </w:style>
  <w:style w:type="paragraph" w:styleId="ListBullet2">
    <w:name w:val="List Bullet 2"/>
    <w:basedOn w:val="Normal"/>
    <w:unhideWhenUsed/>
    <w:qFormat/>
    <w:pPr>
      <w:numPr>
        <w:numId w:val="3"/>
      </w:numPr>
    </w:pPr>
  </w:style>
  <w:style w:type="paragraph" w:styleId="ListBullet3">
    <w:name w:val="List Bullet 3"/>
    <w:basedOn w:val="Normal"/>
    <w:unhideWhenUsed/>
    <w:qFormat/>
    <w:pPr>
      <w:numPr>
        <w:numId w:val="4"/>
      </w:numPr>
    </w:pPr>
  </w:style>
  <w:style w:type="paragraph" w:styleId="ListBullet4">
    <w:name w:val="List Bullet 4"/>
    <w:basedOn w:val="Normal"/>
    <w:unhideWhenUsed/>
    <w:qFormat/>
    <w:pPr>
      <w:numPr>
        <w:numId w:val="5"/>
      </w:numPr>
    </w:pPr>
  </w:style>
  <w:style w:type="paragraph" w:styleId="ListBullet5">
    <w:name w:val="List Bullet 5"/>
    <w:basedOn w:val="Normal"/>
    <w:unhideWhenUsed/>
    <w:qFormat/>
    <w:pPr>
      <w:numPr>
        <w:numId w:val="6"/>
      </w:numPr>
    </w:pPr>
  </w:style>
  <w:style w:type="paragraph" w:styleId="ListNumber">
    <w:name w:val="List Number"/>
    <w:basedOn w:val="Normal"/>
    <w:qFormat/>
    <w:pPr>
      <w:numPr>
        <w:numId w:val="2"/>
      </w:numPr>
    </w:pPr>
  </w:style>
  <w:style w:type="paragraph" w:styleId="ListNumber2">
    <w:name w:val="List Number 2"/>
    <w:basedOn w:val="Normal"/>
    <w:unhideWhenUsed/>
    <w:qFormat/>
    <w:pPr>
      <w:numPr>
        <w:numId w:val="7"/>
      </w:numPr>
    </w:pPr>
  </w:style>
  <w:style w:type="paragraph" w:styleId="ListNumber3">
    <w:name w:val="List Number 3"/>
    <w:basedOn w:val="Normal"/>
    <w:unhideWhenUsed/>
    <w:qFormat/>
    <w:pPr>
      <w:numPr>
        <w:numId w:val="8"/>
      </w:numPr>
    </w:pPr>
  </w:style>
  <w:style w:type="paragraph" w:styleId="ListNumber4">
    <w:name w:val="List Number 4"/>
    <w:basedOn w:val="Normal"/>
    <w:unhideWhenUsed/>
    <w:qFormat/>
    <w:pPr>
      <w:numPr>
        <w:numId w:val="9"/>
      </w:numPr>
    </w:pPr>
  </w:style>
  <w:style w:type="paragraph" w:styleId="ListNumber5">
    <w:name w:val="List Number 5"/>
    <w:basedOn w:val="Normal"/>
    <w:unhideWhenUsed/>
    <w:qFormat/>
    <w:pPr>
      <w:numPr>
        <w:numId w:val="10"/>
      </w:numPr>
    </w:pPr>
  </w:style>
  <w:style w:type="paragraph" w:styleId="ListContinue">
    <w:name w:val="List Continue"/>
    <w:basedOn w:val="Normal"/>
    <w:qFormat/>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unhideWhenUsed/>
    <w:qFormat/>
    <w:pPr>
      <w:spacing w:after="120"/>
      <w:ind w:left="1080"/>
    </w:pPr>
  </w:style>
  <w:style w:type="paragraph" w:styleId="ListContinue4">
    <w:name w:val="List Continue 4"/>
    <w:basedOn w:val="Normal"/>
    <w:unhideWhenUsed/>
    <w:qFormat/>
    <w:pPr>
      <w:spacing w:after="120"/>
      <w:ind w:left="1440"/>
    </w:pPr>
  </w:style>
  <w:style w:type="paragraph" w:styleId="ListContinue5">
    <w:name w:val="List Continue 5"/>
    <w:basedOn w:val="Normal"/>
    <w:unhideWhenUsed/>
    <w:qFormat/>
    <w:pPr>
      <w:spacing w:after="120"/>
      <w:ind w:left="1800"/>
    </w:pPr>
  </w:style>
  <w:style w:type="paragraph" w:customStyle="1" w:styleId="Body12ptAfter">
    <w:name w:val="Body 12pt After"/>
    <w:basedOn w:val="Normal"/>
    <w:qFormat/>
    <w:pPr>
      <w:spacing w:after="240"/>
      <w:jc w:val="both"/>
    </w:pPr>
  </w:style>
  <w:style w:type="character" w:customStyle="1" w:styleId="Heading1Char">
    <w:name w:val="Heading 1 Char"/>
    <w:basedOn w:val="DefaultParagraphFont"/>
    <w:link w:val="Heading1"/>
    <w:rPr>
      <w:rFonts w:ascii="Arial" w:hAnsi="Arial" w:cs="Arial"/>
      <w:b/>
      <w:bCs/>
      <w:kern w:val="32"/>
      <w:sz w:val="32"/>
      <w:szCs w:val="32"/>
    </w:rPr>
  </w:style>
  <w:style w:type="character" w:customStyle="1" w:styleId="Heading2Char">
    <w:name w:val="Heading 2 Char"/>
    <w:basedOn w:val="DefaultParagraphFont"/>
    <w:link w:val="Heading2"/>
    <w:rPr>
      <w:rFonts w:ascii="Arial" w:hAnsi="Arial" w:cs="Arial"/>
      <w:b/>
      <w:bCs/>
      <w:i/>
      <w:iCs/>
      <w:sz w:val="28"/>
      <w:szCs w:val="28"/>
    </w:rPr>
  </w:style>
  <w:style w:type="character" w:customStyle="1" w:styleId="Heading3Char">
    <w:name w:val="Heading 3 Char"/>
    <w:basedOn w:val="DefaultParagraphFont"/>
    <w:link w:val="Heading3"/>
    <w:rPr>
      <w:rFonts w:ascii="Arial" w:hAnsi="Arial" w:cs="Arial"/>
      <w:b/>
      <w:bCs/>
      <w:sz w:val="26"/>
      <w:szCs w:val="26"/>
    </w:rPr>
  </w:style>
  <w:style w:type="character" w:customStyle="1" w:styleId="Heading4Char">
    <w:name w:val="Heading 4 Char"/>
    <w:basedOn w:val="DefaultParagraphFont"/>
    <w:link w:val="Heading4"/>
    <w:rPr>
      <w:b/>
      <w:bCs/>
      <w:sz w:val="28"/>
      <w:szCs w:val="28"/>
    </w:rPr>
  </w:style>
  <w:style w:type="character" w:customStyle="1" w:styleId="Heading5Char">
    <w:name w:val="Heading 5 Char"/>
    <w:basedOn w:val="DefaultParagraphFont"/>
    <w:link w:val="Heading5"/>
    <w:rPr>
      <w:b/>
      <w:bCs/>
      <w:i/>
      <w:iCs/>
      <w:sz w:val="26"/>
      <w:szCs w:val="26"/>
    </w:rPr>
  </w:style>
  <w:style w:type="character" w:customStyle="1" w:styleId="Heading6Char">
    <w:name w:val="Heading 6 Char"/>
    <w:basedOn w:val="DefaultParagraphFont"/>
    <w:link w:val="Heading6"/>
    <w:rPr>
      <w:b/>
      <w:bCs/>
      <w:sz w:val="22"/>
      <w:szCs w:val="22"/>
    </w:rPr>
  </w:style>
  <w:style w:type="character" w:customStyle="1" w:styleId="Heading7Char">
    <w:name w:val="Heading 7 Char"/>
    <w:basedOn w:val="DefaultParagraphFont"/>
    <w:link w:val="Heading7"/>
    <w:rPr>
      <w:sz w:val="24"/>
      <w:szCs w:val="24"/>
    </w:rPr>
  </w:style>
  <w:style w:type="character" w:customStyle="1" w:styleId="Heading8Char">
    <w:name w:val="Heading 8 Char"/>
    <w:basedOn w:val="DefaultParagraphFont"/>
    <w:link w:val="Heading8"/>
    <w:rPr>
      <w:i/>
      <w:iCs/>
      <w:sz w:val="24"/>
      <w:szCs w:val="24"/>
    </w:rPr>
  </w:style>
  <w:style w:type="character" w:customStyle="1" w:styleId="Heading9Char">
    <w:name w:val="Heading 9 Char"/>
    <w:basedOn w:val="DefaultParagraphFont"/>
    <w:link w:val="Heading9"/>
    <w:rPr>
      <w:rFonts w:ascii="Arial" w:hAnsi="Arial" w:cs="Arial"/>
      <w:sz w:val="22"/>
      <w:szCs w:val="22"/>
    </w:rPr>
  </w:style>
  <w:style w:type="paragraph" w:styleId="FootnoteText">
    <w:name w:val="footnote text"/>
    <w:basedOn w:val="Normal"/>
    <w:link w:val="FootnoteTextChar"/>
    <w:pPr>
      <w:spacing w:after="120"/>
      <w:jc w:val="both"/>
    </w:pP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paragraph" w:styleId="Title">
    <w:name w:val="Title"/>
    <w:basedOn w:val="Normal"/>
    <w:next w:val="Body"/>
    <w:link w:val="TitleChar"/>
    <w:pPr>
      <w:keepNext/>
      <w:spacing w:after="240"/>
      <w:jc w:val="center"/>
      <w:outlineLvl w:val="0"/>
    </w:pPr>
    <w:rPr>
      <w:rFonts w:cs="Arial"/>
      <w:b/>
      <w:bCs/>
    </w:rPr>
  </w:style>
  <w:style w:type="character" w:customStyle="1" w:styleId="TitleChar">
    <w:name w:val="Title Char"/>
    <w:basedOn w:val="DefaultParagraphFont"/>
    <w:link w:val="Title"/>
    <w:rPr>
      <w:rFonts w:cs="Arial"/>
      <w:b/>
      <w:bCs/>
      <w:sz w:val="24"/>
      <w:szCs w:val="24"/>
    </w:rPr>
  </w:style>
  <w:style w:type="paragraph" w:styleId="Subtitle">
    <w:name w:val="Subtitle"/>
    <w:basedOn w:val="Normal"/>
    <w:link w:val="SubtitleChar"/>
    <w:pPr>
      <w:spacing w:after="240"/>
      <w:jc w:val="center"/>
    </w:pPr>
    <w:rPr>
      <w:rFonts w:cs="Arial"/>
    </w:rPr>
  </w:style>
  <w:style w:type="character" w:customStyle="1" w:styleId="SubtitleChar">
    <w:name w:val="Subtitle Char"/>
    <w:basedOn w:val="DefaultParagraphFont"/>
    <w:link w:val="Subtitle"/>
    <w:rPr>
      <w:rFonts w:cs="Arial"/>
      <w:sz w:val="24"/>
      <w:szCs w:val="24"/>
    </w:rPr>
  </w:style>
  <w:style w:type="character" w:styleId="Strong">
    <w:name w:val="Strong"/>
    <w:basedOn w:val="DefaultParagraphFont"/>
    <w:rPr>
      <w:b/>
      <w:bCs/>
    </w:rPr>
  </w:style>
  <w:style w:type="character" w:customStyle="1" w:styleId="zzmpTrailerItem">
    <w:name w:val="zzmpTrailerItem"/>
    <w:basedOn w:val="DefaultParagraphFont"/>
    <w:rPr>
      <w:rFonts w:ascii="Times New Roman" w:hAnsi="Times New Roman" w:cs="Times New Roman"/>
      <w:b w:val="0"/>
      <w:i w:val="0"/>
      <w:caps w:val="0"/>
      <w:smallCaps w:val="0"/>
      <w:dstrike w:val="0"/>
      <w:shadow w:val="0"/>
      <w:emboss w:val="0"/>
      <w:imprint w:val="0"/>
      <w:noProof/>
      <w:vanish w:val="0"/>
      <w:color w:val="auto"/>
      <w:spacing w:val="0"/>
      <w:position w:val="0"/>
      <w:sz w:val="16"/>
      <w:u w:val="none"/>
      <w:effect w:val="none"/>
      <w:vertAlign w:val="baseline"/>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BodyTextIndent">
    <w:name w:val="Body Text Indent"/>
    <w:basedOn w:val="Normal"/>
    <w:link w:val="BodyTextIndentChar"/>
    <w:pPr>
      <w:ind w:left="720" w:hanging="720"/>
      <w:jc w:val="both"/>
    </w:pPr>
    <w:rPr>
      <w:rFonts w:ascii="Arial" w:hAnsi="Arial" w:cs="Arial"/>
      <w:lang w:val="en-GB"/>
    </w:rPr>
  </w:style>
  <w:style w:type="character" w:customStyle="1" w:styleId="BodyTextIndentChar">
    <w:name w:val="Body Text Indent Char"/>
    <w:basedOn w:val="DefaultParagraphFont"/>
    <w:link w:val="BodyTextIndent"/>
    <w:rPr>
      <w:rFonts w:ascii="Arial" w:hAnsi="Arial" w:cs="Arial"/>
      <w:sz w:val="24"/>
      <w:szCs w:val="24"/>
      <w:lang w:val="en-GB"/>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sz w:val="24"/>
      <w:szCs w:val="24"/>
    </w:rPr>
  </w:style>
  <w:style w:type="character" w:styleId="Emphasis">
    <w:name w:val="Emphasis"/>
    <w:basedOn w:val="DefaultParagraphFont"/>
    <w:qFormat/>
    <w:rPr>
      <w:b/>
      <w:bCs/>
      <w:i w:val="0"/>
      <w:iCs w:val="0"/>
    </w:rPr>
  </w:style>
  <w:style w:type="paragraph" w:styleId="DocumentMap">
    <w:name w:val="Document Map"/>
    <w:basedOn w:val="Normal"/>
    <w:link w:val="DocumentMapChar"/>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Pr>
      <w:rFonts w:ascii="Tahoma" w:hAnsi="Tahoma" w:cs="Tahoma"/>
      <w:shd w:val="clear" w:color="auto" w:fill="000080"/>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pPr>
  </w:style>
  <w:style w:type="paragraph" w:customStyle="1" w:styleId="DefaultText">
    <w:name w:val="Default Text"/>
    <w:basedOn w:val="Normal"/>
    <w:rPr>
      <w:color w:val="000000"/>
      <w:szCs w:val="20"/>
    </w:rPr>
  </w:style>
  <w:style w:type="paragraph" w:customStyle="1" w:styleId="Contents2">
    <w:name w:val="Contents2"/>
    <w:basedOn w:val="Normal"/>
    <w:pPr>
      <w:numPr>
        <w:ilvl w:val="1"/>
        <w:numId w:val="11"/>
      </w:numPr>
      <w:spacing w:before="142" w:after="85"/>
      <w:jc w:val="both"/>
    </w:pPr>
    <w:rPr>
      <w:rFonts w:ascii="Arial" w:hAnsi="Arial"/>
      <w:color w:val="000000"/>
      <w:sz w:val="22"/>
      <w:szCs w:val="20"/>
      <w:lang w:val="en-GB"/>
    </w:rPr>
  </w:style>
  <w:style w:type="paragraph" w:customStyle="1" w:styleId="Contents1">
    <w:name w:val="Contents1"/>
    <w:basedOn w:val="Normal"/>
    <w:pPr>
      <w:keepNext/>
      <w:numPr>
        <w:numId w:val="11"/>
      </w:numPr>
      <w:tabs>
        <w:tab w:val="left" w:pos="864"/>
        <w:tab w:val="left" w:pos="7881"/>
        <w:tab w:val="left" w:pos="9185"/>
        <w:tab w:val="left" w:pos="10489"/>
        <w:tab w:val="left" w:pos="11793"/>
        <w:tab w:val="left" w:pos="13097"/>
        <w:tab w:val="left" w:pos="14401"/>
      </w:tabs>
      <w:spacing w:before="142" w:after="85"/>
    </w:pPr>
    <w:rPr>
      <w:rFonts w:ascii="Arial" w:hAnsi="Arial"/>
      <w:b/>
      <w:color w:val="000000"/>
      <w:sz w:val="22"/>
      <w:szCs w:val="20"/>
    </w:rPr>
  </w:style>
  <w:style w:type="character" w:customStyle="1" w:styleId="DeltaViewInsertion">
    <w:name w:val="DeltaView Insertion"/>
    <w:rPr>
      <w:color w:val="0000FF"/>
      <w:u w:val="double"/>
    </w:rPr>
  </w:style>
  <w:style w:type="paragraph" w:customStyle="1" w:styleId="BridgeText">
    <w:name w:val="Bridge Text"/>
    <w:basedOn w:val="Normal"/>
    <w:pPr>
      <w:ind w:left="1134"/>
    </w:pPr>
    <w:rPr>
      <w:rFonts w:ascii="Arial" w:hAnsi="Arial" w:cs="Arial"/>
      <w:color w:val="000000"/>
      <w:sz w:val="22"/>
      <w:szCs w:val="20"/>
      <w:lang w:val="en-GB"/>
    </w:rPr>
  </w:style>
  <w:style w:type="character" w:styleId="Hyperlink">
    <w:name w:val="Hyperlink"/>
    <w:basedOn w:val="DefaultParagraphFont"/>
    <w:rPr>
      <w:color w:val="0000FF" w:themeColor="hyperlink"/>
      <w:u w:val="single"/>
    </w:rPr>
  </w:style>
  <w:style w:type="paragraph" w:customStyle="1" w:styleId="Legal2Cont1">
    <w:name w:val="Legal2 Cont 1"/>
    <w:basedOn w:val="Normal"/>
    <w:link w:val="Legal2Cont1Char"/>
    <w:pPr>
      <w:spacing w:after="240"/>
      <w:ind w:firstLine="720"/>
    </w:pPr>
    <w:rPr>
      <w:szCs w:val="20"/>
    </w:rPr>
  </w:style>
  <w:style w:type="character" w:customStyle="1" w:styleId="Legal2Cont1Char">
    <w:name w:val="Legal2 Cont 1 Char"/>
    <w:basedOn w:val="DefaultParagraphFont"/>
    <w:link w:val="Legal2Cont1"/>
    <w:rPr>
      <w:sz w:val="24"/>
    </w:rPr>
  </w:style>
  <w:style w:type="paragraph" w:customStyle="1" w:styleId="Legal2Cont2">
    <w:name w:val="Legal2 Cont 2"/>
    <w:basedOn w:val="Legal2Cont1"/>
    <w:link w:val="Legal2Cont2Char"/>
    <w:pPr>
      <w:ind w:firstLine="1440"/>
    </w:pPr>
  </w:style>
  <w:style w:type="character" w:customStyle="1" w:styleId="Legal2Cont2Char">
    <w:name w:val="Legal2 Cont 2 Char"/>
    <w:basedOn w:val="DefaultParagraphFont"/>
    <w:link w:val="Legal2Cont2"/>
    <w:rPr>
      <w:sz w:val="24"/>
    </w:rPr>
  </w:style>
  <w:style w:type="paragraph" w:customStyle="1" w:styleId="Legal2Cont3">
    <w:name w:val="Legal2 Cont 3"/>
    <w:basedOn w:val="Legal2Cont2"/>
    <w:link w:val="Legal2Cont3Char"/>
    <w:pPr>
      <w:ind w:firstLine="2160"/>
    </w:pPr>
  </w:style>
  <w:style w:type="character" w:customStyle="1" w:styleId="Legal2Cont3Char">
    <w:name w:val="Legal2 Cont 3 Char"/>
    <w:basedOn w:val="DefaultParagraphFont"/>
    <w:link w:val="Legal2Cont3"/>
    <w:rPr>
      <w:sz w:val="24"/>
    </w:rPr>
  </w:style>
  <w:style w:type="paragraph" w:customStyle="1" w:styleId="Legal2Cont4">
    <w:name w:val="Legal2 Cont 4"/>
    <w:basedOn w:val="Legal2Cont3"/>
    <w:link w:val="Legal2Cont4Char"/>
    <w:pPr>
      <w:ind w:firstLine="2880"/>
    </w:pPr>
  </w:style>
  <w:style w:type="character" w:customStyle="1" w:styleId="Legal2Cont4Char">
    <w:name w:val="Legal2 Cont 4 Char"/>
    <w:basedOn w:val="DefaultParagraphFont"/>
    <w:link w:val="Legal2Cont4"/>
    <w:rPr>
      <w:sz w:val="24"/>
    </w:rPr>
  </w:style>
  <w:style w:type="paragraph" w:customStyle="1" w:styleId="Legal2Cont5">
    <w:name w:val="Legal2 Cont 5"/>
    <w:basedOn w:val="Legal2Cont4"/>
    <w:link w:val="Legal2Cont5Char"/>
    <w:pPr>
      <w:ind w:firstLine="3600"/>
    </w:pPr>
  </w:style>
  <w:style w:type="character" w:customStyle="1" w:styleId="Legal2Cont5Char">
    <w:name w:val="Legal2 Cont 5 Char"/>
    <w:basedOn w:val="DefaultParagraphFont"/>
    <w:link w:val="Legal2Cont5"/>
    <w:rPr>
      <w:sz w:val="24"/>
    </w:rPr>
  </w:style>
  <w:style w:type="paragraph" w:customStyle="1" w:styleId="Legal2Cont6">
    <w:name w:val="Legal2 Cont 6"/>
    <w:basedOn w:val="Legal2Cont5"/>
    <w:link w:val="Legal2Cont6Char"/>
    <w:pPr>
      <w:ind w:firstLine="4320"/>
    </w:pPr>
  </w:style>
  <w:style w:type="character" w:customStyle="1" w:styleId="Legal2Cont6Char">
    <w:name w:val="Legal2 Cont 6 Char"/>
    <w:basedOn w:val="DefaultParagraphFont"/>
    <w:link w:val="Legal2Cont6"/>
    <w:rPr>
      <w:sz w:val="24"/>
    </w:rPr>
  </w:style>
  <w:style w:type="paragraph" w:customStyle="1" w:styleId="Legal2Cont7">
    <w:name w:val="Legal2 Cont 7"/>
    <w:basedOn w:val="Legal2Cont6"/>
    <w:link w:val="Legal2Cont7Char"/>
    <w:pPr>
      <w:ind w:firstLine="5040"/>
    </w:pPr>
  </w:style>
  <w:style w:type="character" w:customStyle="1" w:styleId="Legal2Cont7Char">
    <w:name w:val="Legal2 Cont 7 Char"/>
    <w:basedOn w:val="DefaultParagraphFont"/>
    <w:link w:val="Legal2Cont7"/>
    <w:rPr>
      <w:sz w:val="24"/>
    </w:rPr>
  </w:style>
  <w:style w:type="paragraph" w:customStyle="1" w:styleId="Legal2Cont8">
    <w:name w:val="Legal2 Cont 8"/>
    <w:basedOn w:val="Legal2Cont7"/>
    <w:link w:val="Legal2Cont8Char"/>
    <w:pPr>
      <w:ind w:firstLine="5760"/>
    </w:pPr>
  </w:style>
  <w:style w:type="character" w:customStyle="1" w:styleId="Legal2Cont8Char">
    <w:name w:val="Legal2 Cont 8 Char"/>
    <w:basedOn w:val="DefaultParagraphFont"/>
    <w:link w:val="Legal2Cont8"/>
    <w:rPr>
      <w:sz w:val="24"/>
    </w:rPr>
  </w:style>
  <w:style w:type="paragraph" w:customStyle="1" w:styleId="Legal2Cont9">
    <w:name w:val="Legal2 Cont 9"/>
    <w:basedOn w:val="Legal2Cont8"/>
    <w:link w:val="Legal2Cont9Char"/>
    <w:pPr>
      <w:ind w:firstLine="6480"/>
    </w:pPr>
  </w:style>
  <w:style w:type="character" w:customStyle="1" w:styleId="Legal2Cont9Char">
    <w:name w:val="Legal2 Cont 9 Char"/>
    <w:basedOn w:val="DefaultParagraphFont"/>
    <w:link w:val="Legal2Cont9"/>
    <w:rPr>
      <w:sz w:val="24"/>
    </w:rPr>
  </w:style>
  <w:style w:type="paragraph" w:customStyle="1" w:styleId="Legal2L1">
    <w:name w:val="Legal2_L1"/>
    <w:basedOn w:val="Normal"/>
    <w:next w:val="BodyText"/>
    <w:link w:val="Legal2L1Char"/>
    <w:pPr>
      <w:numPr>
        <w:numId w:val="12"/>
      </w:numPr>
      <w:spacing w:after="240"/>
      <w:jc w:val="both"/>
      <w:outlineLvl w:val="0"/>
    </w:pPr>
    <w:rPr>
      <w:szCs w:val="20"/>
    </w:rPr>
  </w:style>
  <w:style w:type="character" w:customStyle="1" w:styleId="Legal2L1Char">
    <w:name w:val="Legal2_L1 Char"/>
    <w:basedOn w:val="DefaultParagraphFont"/>
    <w:link w:val="Legal2L1"/>
    <w:rPr>
      <w:sz w:val="24"/>
    </w:rPr>
  </w:style>
  <w:style w:type="paragraph" w:customStyle="1" w:styleId="Legal2L2">
    <w:name w:val="Legal2_L2"/>
    <w:basedOn w:val="Legal2L1"/>
    <w:next w:val="BodyText"/>
    <w:link w:val="Legal2L2Char"/>
    <w:pPr>
      <w:numPr>
        <w:ilvl w:val="1"/>
      </w:numPr>
      <w:outlineLvl w:val="1"/>
    </w:pPr>
  </w:style>
  <w:style w:type="character" w:customStyle="1" w:styleId="Legal2L2Char">
    <w:name w:val="Legal2_L2 Char"/>
    <w:basedOn w:val="DefaultParagraphFont"/>
    <w:link w:val="Legal2L2"/>
    <w:rPr>
      <w:sz w:val="24"/>
    </w:rPr>
  </w:style>
  <w:style w:type="paragraph" w:customStyle="1" w:styleId="Legal2L3">
    <w:name w:val="Legal2_L3"/>
    <w:basedOn w:val="Legal2L2"/>
    <w:next w:val="BodyText"/>
    <w:link w:val="Legal2L3Char"/>
    <w:pPr>
      <w:numPr>
        <w:ilvl w:val="2"/>
      </w:numPr>
      <w:outlineLvl w:val="2"/>
    </w:pPr>
  </w:style>
  <w:style w:type="character" w:customStyle="1" w:styleId="Legal2L3Char">
    <w:name w:val="Legal2_L3 Char"/>
    <w:basedOn w:val="DefaultParagraphFont"/>
    <w:link w:val="Legal2L3"/>
    <w:rPr>
      <w:sz w:val="24"/>
    </w:rPr>
  </w:style>
  <w:style w:type="paragraph" w:customStyle="1" w:styleId="Legal2L4">
    <w:name w:val="Legal2_L4"/>
    <w:basedOn w:val="Legal2L3"/>
    <w:next w:val="BodyText"/>
    <w:link w:val="Legal2L4Char"/>
    <w:pPr>
      <w:numPr>
        <w:ilvl w:val="3"/>
      </w:numPr>
      <w:outlineLvl w:val="3"/>
    </w:pPr>
  </w:style>
  <w:style w:type="character" w:customStyle="1" w:styleId="Legal2L4Char">
    <w:name w:val="Legal2_L4 Char"/>
    <w:basedOn w:val="DefaultParagraphFont"/>
    <w:link w:val="Legal2L4"/>
    <w:rPr>
      <w:sz w:val="24"/>
    </w:rPr>
  </w:style>
  <w:style w:type="paragraph" w:customStyle="1" w:styleId="Legal2L5">
    <w:name w:val="Legal2_L5"/>
    <w:basedOn w:val="Legal2L4"/>
    <w:next w:val="BodyText"/>
    <w:link w:val="Legal2L5Char"/>
    <w:pPr>
      <w:numPr>
        <w:ilvl w:val="4"/>
      </w:numPr>
      <w:outlineLvl w:val="4"/>
    </w:pPr>
  </w:style>
  <w:style w:type="character" w:customStyle="1" w:styleId="Legal2L5Char">
    <w:name w:val="Legal2_L5 Char"/>
    <w:basedOn w:val="DefaultParagraphFont"/>
    <w:link w:val="Legal2L5"/>
    <w:rPr>
      <w:sz w:val="24"/>
    </w:rPr>
  </w:style>
  <w:style w:type="paragraph" w:customStyle="1" w:styleId="Legal2L6">
    <w:name w:val="Legal2_L6"/>
    <w:basedOn w:val="Legal2L5"/>
    <w:next w:val="BodyText"/>
    <w:link w:val="Legal2L6Char"/>
    <w:pPr>
      <w:numPr>
        <w:ilvl w:val="5"/>
      </w:numPr>
      <w:outlineLvl w:val="5"/>
    </w:pPr>
  </w:style>
  <w:style w:type="character" w:customStyle="1" w:styleId="Legal2L6Char">
    <w:name w:val="Legal2_L6 Char"/>
    <w:basedOn w:val="DefaultParagraphFont"/>
    <w:link w:val="Legal2L6"/>
    <w:rPr>
      <w:sz w:val="24"/>
    </w:rPr>
  </w:style>
  <w:style w:type="paragraph" w:customStyle="1" w:styleId="Legal2L7">
    <w:name w:val="Legal2_L7"/>
    <w:basedOn w:val="Legal2L6"/>
    <w:next w:val="BodyText"/>
    <w:link w:val="Legal2L7Char"/>
    <w:pPr>
      <w:numPr>
        <w:ilvl w:val="6"/>
      </w:numPr>
      <w:outlineLvl w:val="6"/>
    </w:pPr>
  </w:style>
  <w:style w:type="character" w:customStyle="1" w:styleId="Legal2L7Char">
    <w:name w:val="Legal2_L7 Char"/>
    <w:basedOn w:val="DefaultParagraphFont"/>
    <w:link w:val="Legal2L7"/>
    <w:rPr>
      <w:sz w:val="24"/>
    </w:rPr>
  </w:style>
  <w:style w:type="paragraph" w:customStyle="1" w:styleId="Legal2L8">
    <w:name w:val="Legal2_L8"/>
    <w:basedOn w:val="Legal2L7"/>
    <w:next w:val="BodyText"/>
    <w:link w:val="Legal2L8Char"/>
    <w:pPr>
      <w:numPr>
        <w:ilvl w:val="7"/>
      </w:numPr>
      <w:outlineLvl w:val="7"/>
    </w:pPr>
  </w:style>
  <w:style w:type="character" w:customStyle="1" w:styleId="Legal2L8Char">
    <w:name w:val="Legal2_L8 Char"/>
    <w:basedOn w:val="DefaultParagraphFont"/>
    <w:link w:val="Legal2L8"/>
    <w:rPr>
      <w:sz w:val="24"/>
    </w:rPr>
  </w:style>
  <w:style w:type="paragraph" w:customStyle="1" w:styleId="Legal2L9">
    <w:name w:val="Legal2_L9"/>
    <w:basedOn w:val="Legal2L8"/>
    <w:next w:val="BodyText"/>
    <w:link w:val="Legal2L9Char"/>
    <w:pPr>
      <w:numPr>
        <w:ilvl w:val="8"/>
      </w:numPr>
      <w:outlineLvl w:val="8"/>
    </w:pPr>
  </w:style>
  <w:style w:type="character" w:customStyle="1" w:styleId="Legal2L9Char">
    <w:name w:val="Legal2_L9 Char"/>
    <w:basedOn w:val="DefaultParagraphFont"/>
    <w:link w:val="Legal2L9"/>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menor@shut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1388</Words>
  <Characters>7228</Characters>
  <Application>Microsoft Office Word</Application>
  <DocSecurity>0</DocSecurity>
  <Lines>114</Lines>
  <Paragraphs>36</Paragraphs>
  <ScaleCrop>false</ScaleCrop>
  <Company>Shutts &amp; Bowen LLP</Company>
  <LinksUpToDate>false</LinksUpToDate>
  <CharactersWithSpaces>8628</CharactersWithSpaces>
  <SharedDoc>false</SharedDoc>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
  <revision>1</revision>
  <dcterms:created xsi:type="dcterms:W3CDTF">2012-10-03T21:23:07.6263803Z</dcterms:created>
  <dcterms:modified xsi:type="dcterms:W3CDTF">2012-10-03T21:23:07.6263803Z</dcterms:modified>
  <category/>
  <contentStatus/>
  <contentType/>
  <version>0</version>
</coreProperties>
</file>