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BA3" w:rsidRPr="0057711E" w:rsidRDefault="008F5BA3" w:rsidP="005753B4">
      <w:pPr>
        <w:pStyle w:val="CenterBold"/>
        <w:spacing w:before="320" w:after="320"/>
        <w:rPr>
          <w:rFonts w:ascii="Times New Roman Bold" w:hAnsi="Times New Roman Bold"/>
          <w:sz w:val="32"/>
          <w:szCs w:val="32"/>
        </w:rPr>
      </w:pPr>
      <w:r w:rsidRPr="0016415E">
        <w:rPr>
          <w:rFonts w:ascii="Times New Roman Bold" w:hAnsi="Times New Roman Bold"/>
          <w:sz w:val="32"/>
          <w:szCs w:val="32"/>
        </w:rPr>
        <w:t>Seminar 15</w:t>
      </w:r>
      <w:r>
        <w:rPr>
          <w:rFonts w:ascii="Times New Roman Bold" w:hAnsi="Times New Roman Bold"/>
          <w:sz w:val="32"/>
          <w:szCs w:val="32"/>
        </w:rPr>
        <w:t xml:space="preserve">:  </w:t>
      </w:r>
      <w:r w:rsidRPr="0016415E">
        <w:rPr>
          <w:rFonts w:ascii="Times New Roman Bold" w:hAnsi="Times New Roman Bold"/>
          <w:sz w:val="32"/>
          <w:szCs w:val="32"/>
        </w:rPr>
        <w:br/>
      </w:r>
      <w:r w:rsidRPr="0057711E">
        <w:rPr>
          <w:rFonts w:ascii="Times New Roman Bold" w:hAnsi="Times New Roman Bold"/>
          <w:sz w:val="32"/>
          <w:szCs w:val="32"/>
        </w:rPr>
        <w:t>From the Halls of Justice</w:t>
      </w:r>
      <w:r>
        <w:rPr>
          <w:rFonts w:ascii="Times New Roman Bold" w:hAnsi="Times New Roman Bold"/>
          <w:sz w:val="32"/>
          <w:szCs w:val="32"/>
        </w:rPr>
        <w:t xml:space="preserve">:  </w:t>
      </w:r>
      <w:r>
        <w:rPr>
          <w:rFonts w:ascii="Times New Roman Bold" w:hAnsi="Times New Roman Bold"/>
          <w:sz w:val="32"/>
          <w:szCs w:val="32"/>
        </w:rPr>
        <w:br/>
      </w:r>
      <w:r w:rsidRPr="0057711E">
        <w:rPr>
          <w:rFonts w:ascii="Times New Roman Bold" w:hAnsi="Times New Roman Bold"/>
          <w:sz w:val="32"/>
          <w:szCs w:val="32"/>
        </w:rPr>
        <w:t>Ten Cases</w:t>
      </w:r>
      <w:r>
        <w:rPr>
          <w:rFonts w:ascii="Times New Roman Bold" w:hAnsi="Times New Roman Bold"/>
          <w:sz w:val="32"/>
          <w:szCs w:val="32"/>
        </w:rPr>
        <w:t xml:space="preserve"> </w:t>
      </w:r>
      <w:r w:rsidRPr="0057711E">
        <w:rPr>
          <w:rFonts w:ascii="Times New Roman Bold" w:hAnsi="Times New Roman Bold"/>
          <w:sz w:val="32"/>
          <w:szCs w:val="32"/>
        </w:rPr>
        <w:t>You Need to Know about in the Shopping Center</w:t>
      </w:r>
      <w:r w:rsidRPr="0057711E">
        <w:rPr>
          <w:rFonts w:ascii="Times New Roman Bold" w:hAnsi="Times New Roman Bold"/>
          <w:sz w:val="32"/>
          <w:szCs w:val="32"/>
        </w:rPr>
        <w:br/>
        <w:t>Industry</w:t>
      </w:r>
    </w:p>
    <w:p w:rsidR="008F5BA3" w:rsidRDefault="008F5BA3" w:rsidP="005753B4">
      <w:pPr>
        <w:pStyle w:val="CenterBold"/>
      </w:pPr>
      <w:r>
        <w:t>October 26, 2012</w:t>
      </w:r>
      <w:r>
        <w:br/>
        <w:t>9:15 a.m.</w:t>
      </w:r>
    </w:p>
    <w:p w:rsidR="008F5BA3" w:rsidRDefault="008F5BA3" w:rsidP="006D0EFC">
      <w:pPr>
        <w:pStyle w:val="CenterBold"/>
      </w:pPr>
      <w:r>
        <w:t>Presented to the</w:t>
      </w:r>
      <w:r>
        <w:br/>
        <w:t>International Council of Shopping Centers</w:t>
      </w:r>
      <w:r>
        <w:br/>
        <w:t>2012 U.S. Shopping Center Law Conference</w:t>
      </w:r>
      <w:r>
        <w:br/>
        <w:t>Marriott Grand Lakes</w:t>
      </w:r>
      <w:r>
        <w:br/>
        <w:t>Orlando, Florida</w:t>
      </w:r>
      <w:r>
        <w:br/>
        <w:t>October 24 - 27, 2012</w:t>
      </w:r>
    </w:p>
    <w:p w:rsidR="008F5BA3" w:rsidRDefault="008F5BA3" w:rsidP="005753B4">
      <w:pPr>
        <w:pStyle w:val="CenterBold"/>
      </w:pPr>
      <w:r>
        <w:t>By</w:t>
      </w:r>
    </w:p>
    <w:p w:rsidR="008F5BA3" w:rsidRDefault="008F5BA3" w:rsidP="005753B4">
      <w:pPr>
        <w:pStyle w:val="CenterBold"/>
      </w:pPr>
      <w:r>
        <w:t>Nicholas B. Waranoff, Esq.</w:t>
      </w:r>
      <w:r>
        <w:br/>
        <w:t>Allen Matkins Leck Gamble Mallory &amp; Natsis LLP</w:t>
      </w:r>
      <w:r>
        <w:br/>
        <w:t>3 Embarcadero Center, 12</w:t>
      </w:r>
      <w:r w:rsidRPr="005753B4">
        <w:rPr>
          <w:vertAlign w:val="superscript"/>
        </w:rPr>
        <w:t>th</w:t>
      </w:r>
      <w:r>
        <w:t xml:space="preserve"> Floor</w:t>
      </w:r>
      <w:r>
        <w:br/>
        <w:t>San Francisco, California 94111</w:t>
      </w:r>
      <w:r>
        <w:br/>
        <w:t>nwaranoff@allenmatkins.com</w:t>
      </w:r>
      <w:r>
        <w:br/>
        <w:t>(415) 837-1515</w:t>
      </w:r>
    </w:p>
    <w:p w:rsidR="008F5BA3" w:rsidRPr="005753B4" w:rsidRDefault="008F5BA3" w:rsidP="005753B4">
      <w:pPr>
        <w:pStyle w:val="CenterBold"/>
      </w:pPr>
      <w:r>
        <w:t>and</w:t>
      </w:r>
    </w:p>
    <w:p w:rsidR="008F5BA3" w:rsidRDefault="008F5BA3" w:rsidP="00027176">
      <w:pPr>
        <w:pStyle w:val="CenterBold"/>
      </w:pPr>
      <w:r>
        <w:t>Elizabeth A. Hamilton Esq.</w:t>
      </w:r>
      <w:r>
        <w:br/>
        <w:t>Senior Managing Counsel - Real Estate</w:t>
      </w:r>
      <w:r>
        <w:br/>
        <w:t>Office Depot</w:t>
      </w:r>
      <w:r>
        <w:br/>
        <w:t>6600 North Military Trail</w:t>
      </w:r>
      <w:r>
        <w:br/>
        <w:t>Boca Raton, FL 33496</w:t>
      </w:r>
      <w:r>
        <w:br/>
        <w:t>elizabeth.hamilton@officedepot.com</w:t>
      </w:r>
      <w:r>
        <w:br/>
        <w:t>(561) 438-7294</w:t>
      </w:r>
    </w:p>
    <w:p w:rsidR="008F5BA3" w:rsidRPr="005753B4" w:rsidRDefault="008F5BA3" w:rsidP="00027176">
      <w:pPr>
        <w:pStyle w:val="CenterBold"/>
      </w:pPr>
      <w:r>
        <w:t>and</w:t>
      </w:r>
    </w:p>
    <w:p w:rsidR="008F5BA3" w:rsidRDefault="008F5BA3" w:rsidP="006D0EFC">
      <w:pPr>
        <w:pStyle w:val="CenterBold"/>
      </w:pPr>
      <w:r w:rsidRPr="00A644F8">
        <w:rPr>
          <w:szCs w:val="24"/>
        </w:rPr>
        <w:t xml:space="preserve">Matthew E. Cash </w:t>
      </w:r>
      <w:r w:rsidRPr="00A644F8">
        <w:rPr>
          <w:szCs w:val="24"/>
        </w:rPr>
        <w:br/>
        <w:t xml:space="preserve">Chief Markets Counsel </w:t>
      </w:r>
      <w:r w:rsidRPr="00A644F8">
        <w:rPr>
          <w:szCs w:val="24"/>
        </w:rPr>
        <w:br/>
        <w:t xml:space="preserve">Jones Lang LaSalle </w:t>
      </w:r>
      <w:r w:rsidRPr="00A644F8">
        <w:rPr>
          <w:szCs w:val="24"/>
        </w:rPr>
        <w:br/>
        <w:t xml:space="preserve">200 E. Randolph Drive </w:t>
      </w:r>
      <w:r w:rsidRPr="00A644F8">
        <w:rPr>
          <w:szCs w:val="24"/>
        </w:rPr>
        <w:br/>
        <w:t xml:space="preserve">Chicago, IL 60601 </w:t>
      </w:r>
      <w:r w:rsidRPr="00A644F8">
        <w:rPr>
          <w:szCs w:val="24"/>
        </w:rPr>
        <w:br/>
      </w:r>
      <w:r>
        <w:rPr>
          <w:szCs w:val="24"/>
        </w:rPr>
        <w:t>matthew.cash@am.jll.com</w:t>
      </w:r>
      <w:r w:rsidRPr="00A644F8">
        <w:rPr>
          <w:szCs w:val="24"/>
        </w:rPr>
        <w:br/>
      </w:r>
      <w:r>
        <w:rPr>
          <w:szCs w:val="24"/>
        </w:rPr>
        <w:t>(312) 228-2182</w:t>
      </w:r>
      <w:r>
        <w:t xml:space="preserve"> </w:t>
      </w:r>
    </w:p>
    <w:p w:rsidR="008F5BA3" w:rsidRDefault="008F5BA3" w:rsidP="00335D8C">
      <w:pPr>
        <w:sectPr w:rsidR="008F5BA3" w:rsidSect="005753B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288" w:gutter="0"/>
          <w:pgNumType w:start="1"/>
          <w:cols w:space="720"/>
          <w:vAlign w:val="center"/>
          <w:docGrid w:linePitch="326"/>
        </w:sectPr>
      </w:pPr>
    </w:p>
    <w:p w:rsidR="008F5BA3" w:rsidRPr="00072D2B" w:rsidRDefault="008F5BA3">
      <w:pPr>
        <w:pStyle w:val="TOC1"/>
      </w:pPr>
      <w:r w:rsidRPr="00072D2B">
        <w:fldChar w:fldCharType="begin"/>
      </w:r>
      <w:r w:rsidRPr="00072D2B">
        <w:instrText xml:space="preserve"> TOC \f \u \t "Heading 1,1" </w:instrText>
      </w:r>
      <w:r w:rsidRPr="00072D2B">
        <w:fldChar w:fldCharType="separate"/>
      </w:r>
      <w:r w:rsidRPr="00072D2B">
        <w:t>1.</w:t>
      </w:r>
      <w:r w:rsidRPr="00072D2B">
        <w:tab/>
        <w:t>Estoppel Certificates</w:t>
      </w:r>
      <w:r w:rsidRPr="00072D2B">
        <w:tab/>
      </w:r>
      <w:r w:rsidRPr="00072D2B">
        <w:fldChar w:fldCharType="begin"/>
      </w:r>
      <w:r w:rsidRPr="00072D2B">
        <w:instrText xml:space="preserve"> PAGEREF _Toc330293781 \h </w:instrText>
      </w:r>
      <w:r w:rsidRPr="00072D2B">
        <w:fldChar w:fldCharType="separate"/>
      </w:r>
      <w:r>
        <w:t>1</w:t>
      </w:r>
      <w:r w:rsidRPr="00072D2B">
        <w:fldChar w:fldCharType="end"/>
      </w:r>
    </w:p>
    <w:p w:rsidR="008F5BA3" w:rsidRPr="00072D2B" w:rsidRDefault="008F5BA3" w:rsidP="00072D2B">
      <w:pPr>
        <w:pStyle w:val="TOC1"/>
      </w:pPr>
      <w:r w:rsidRPr="00072D2B">
        <w:t>2.</w:t>
      </w:r>
      <w:r w:rsidRPr="00072D2B">
        <w:tab/>
        <w:t>Letters of Intent</w:t>
      </w:r>
      <w:r w:rsidRPr="00072D2B">
        <w:tab/>
      </w:r>
      <w:r w:rsidRPr="00072D2B">
        <w:fldChar w:fldCharType="begin"/>
      </w:r>
      <w:r w:rsidRPr="00072D2B">
        <w:instrText xml:space="preserve"> PAGEREF _Toc330293782 \h </w:instrText>
      </w:r>
      <w:r w:rsidRPr="00072D2B">
        <w:fldChar w:fldCharType="separate"/>
      </w:r>
      <w:r>
        <w:t>4</w:t>
      </w:r>
      <w:r w:rsidRPr="00072D2B">
        <w:fldChar w:fldCharType="end"/>
      </w:r>
    </w:p>
    <w:p w:rsidR="008F5BA3" w:rsidRPr="00072D2B" w:rsidRDefault="008F5BA3" w:rsidP="00072D2B">
      <w:pPr>
        <w:pStyle w:val="TOC1"/>
      </w:pPr>
      <w:r w:rsidRPr="00072D2B">
        <w:t>3.</w:t>
      </w:r>
      <w:r w:rsidRPr="00072D2B">
        <w:tab/>
        <w:t>Court Liberally Interprets Listing Agreement to Keep Broker's Chutzpah in Check</w:t>
      </w:r>
      <w:r w:rsidRPr="00072D2B">
        <w:tab/>
      </w:r>
      <w:r w:rsidRPr="00072D2B">
        <w:fldChar w:fldCharType="begin"/>
      </w:r>
      <w:r w:rsidRPr="00072D2B">
        <w:instrText xml:space="preserve"> PAGEREF _Toc330293783 \h </w:instrText>
      </w:r>
      <w:r w:rsidRPr="00072D2B">
        <w:fldChar w:fldCharType="separate"/>
      </w:r>
      <w:r>
        <w:t>7</w:t>
      </w:r>
      <w:r w:rsidRPr="00072D2B">
        <w:fldChar w:fldCharType="end"/>
      </w:r>
    </w:p>
    <w:p w:rsidR="008F5BA3" w:rsidRPr="00072D2B" w:rsidRDefault="008F5BA3" w:rsidP="00072D2B">
      <w:pPr>
        <w:pStyle w:val="TOC1"/>
      </w:pPr>
      <w:r w:rsidRPr="00072D2B">
        <w:t>4.</w:t>
      </w:r>
      <w:r w:rsidRPr="00072D2B">
        <w:tab/>
        <w:t>No More "Free Looks" for California Real Estate Buyers</w:t>
      </w:r>
      <w:r w:rsidRPr="00072D2B">
        <w:tab/>
      </w:r>
      <w:r w:rsidRPr="00072D2B">
        <w:fldChar w:fldCharType="begin"/>
      </w:r>
      <w:r w:rsidRPr="00072D2B">
        <w:instrText xml:space="preserve"> PAGEREF _Toc330293784 \h </w:instrText>
      </w:r>
      <w:r w:rsidRPr="00072D2B">
        <w:fldChar w:fldCharType="separate"/>
      </w:r>
      <w:r>
        <w:t>9</w:t>
      </w:r>
      <w:r w:rsidRPr="00072D2B">
        <w:fldChar w:fldCharType="end"/>
      </w:r>
    </w:p>
    <w:p w:rsidR="008F5BA3" w:rsidRPr="00072D2B" w:rsidRDefault="008F5BA3" w:rsidP="00072D2B">
      <w:pPr>
        <w:pStyle w:val="TOC1"/>
      </w:pPr>
      <w:r w:rsidRPr="00072D2B">
        <w:t>5.</w:t>
      </w:r>
      <w:r w:rsidRPr="00072D2B">
        <w:tab/>
        <w:t>Think Twice Before Terminating a Lease</w:t>
      </w:r>
      <w:r w:rsidRPr="00072D2B">
        <w:tab/>
      </w:r>
      <w:r w:rsidRPr="00072D2B">
        <w:fldChar w:fldCharType="begin"/>
      </w:r>
      <w:r w:rsidRPr="00072D2B">
        <w:instrText xml:space="preserve"> PAGEREF _Toc330293785 \h </w:instrText>
      </w:r>
      <w:r w:rsidRPr="00072D2B">
        <w:fldChar w:fldCharType="separate"/>
      </w:r>
      <w:r>
        <w:t>11</w:t>
      </w:r>
      <w:r w:rsidRPr="00072D2B">
        <w:fldChar w:fldCharType="end"/>
      </w:r>
    </w:p>
    <w:p w:rsidR="008F5BA3" w:rsidRPr="00072D2B" w:rsidRDefault="008F5BA3" w:rsidP="00072D2B">
      <w:pPr>
        <w:pStyle w:val="TOC1"/>
      </w:pPr>
      <w:r w:rsidRPr="00072D2B">
        <w:t>6.</w:t>
      </w:r>
      <w:r w:rsidRPr="00072D2B">
        <w:tab/>
        <w:t>Draft Your Notice by Email Provision Carefully – Very Carefully</w:t>
      </w:r>
      <w:r w:rsidRPr="00072D2B">
        <w:tab/>
      </w:r>
      <w:r w:rsidRPr="00072D2B">
        <w:fldChar w:fldCharType="begin"/>
      </w:r>
      <w:r w:rsidRPr="00072D2B">
        <w:instrText xml:space="preserve"> PAGEREF _Toc330293786 \h </w:instrText>
      </w:r>
      <w:r w:rsidRPr="00072D2B">
        <w:fldChar w:fldCharType="separate"/>
      </w:r>
      <w:r>
        <w:t>13</w:t>
      </w:r>
      <w:r w:rsidRPr="00072D2B">
        <w:fldChar w:fldCharType="end"/>
      </w:r>
    </w:p>
    <w:p w:rsidR="008F5BA3" w:rsidRPr="00072D2B" w:rsidRDefault="008F5BA3" w:rsidP="00072D2B">
      <w:pPr>
        <w:pStyle w:val="TOC1"/>
      </w:pPr>
      <w:r w:rsidRPr="00072D2B">
        <w:t>7.</w:t>
      </w:r>
      <w:r w:rsidRPr="00072D2B">
        <w:tab/>
        <w:t>Restrictive Leasing Covenants</w:t>
      </w:r>
      <w:r w:rsidRPr="00072D2B">
        <w:tab/>
      </w:r>
      <w:r w:rsidRPr="00072D2B">
        <w:fldChar w:fldCharType="begin"/>
      </w:r>
      <w:r w:rsidRPr="00072D2B">
        <w:instrText xml:space="preserve"> PAGEREF _Toc330293787 \h </w:instrText>
      </w:r>
      <w:r w:rsidRPr="00072D2B">
        <w:fldChar w:fldCharType="separate"/>
      </w:r>
      <w:r>
        <w:t>15</w:t>
      </w:r>
      <w:r w:rsidRPr="00072D2B">
        <w:fldChar w:fldCharType="end"/>
      </w:r>
    </w:p>
    <w:p w:rsidR="008F5BA3" w:rsidRPr="00072D2B" w:rsidRDefault="008F5BA3" w:rsidP="00072D2B">
      <w:pPr>
        <w:pStyle w:val="TOC1"/>
      </w:pPr>
      <w:r w:rsidRPr="00072D2B">
        <w:t>8.</w:t>
      </w:r>
      <w:r w:rsidRPr="00072D2B">
        <w:tab/>
        <w:t>Best Efforts Means . . . Well, this Court Tells Us What it Does NOT Mean</w:t>
      </w:r>
      <w:r w:rsidRPr="00072D2B">
        <w:tab/>
      </w:r>
      <w:r w:rsidRPr="00072D2B">
        <w:fldChar w:fldCharType="begin"/>
      </w:r>
      <w:r w:rsidRPr="00072D2B">
        <w:instrText xml:space="preserve"> PAGEREF _Toc330293788 \h </w:instrText>
      </w:r>
      <w:r w:rsidRPr="00072D2B">
        <w:fldChar w:fldCharType="separate"/>
      </w:r>
      <w:r>
        <w:t>17</w:t>
      </w:r>
      <w:r w:rsidRPr="00072D2B">
        <w:fldChar w:fldCharType="end"/>
      </w:r>
    </w:p>
    <w:p w:rsidR="008F5BA3" w:rsidRPr="00072D2B" w:rsidRDefault="008F5BA3" w:rsidP="00072D2B">
      <w:pPr>
        <w:pStyle w:val="TOC1"/>
      </w:pPr>
      <w:r w:rsidRPr="00072D2B">
        <w:t>9.</w:t>
      </w:r>
      <w:r w:rsidRPr="00072D2B">
        <w:tab/>
        <w:t>Attorney's Fees Provisions</w:t>
      </w:r>
      <w:r w:rsidRPr="00072D2B">
        <w:tab/>
      </w:r>
      <w:r w:rsidRPr="00072D2B">
        <w:fldChar w:fldCharType="begin"/>
      </w:r>
      <w:r w:rsidRPr="00072D2B">
        <w:instrText xml:space="preserve"> PAGEREF _Toc330293789 \h </w:instrText>
      </w:r>
      <w:r w:rsidRPr="00072D2B">
        <w:fldChar w:fldCharType="separate"/>
      </w:r>
      <w:r>
        <w:t>19</w:t>
      </w:r>
      <w:r w:rsidRPr="00072D2B">
        <w:fldChar w:fldCharType="end"/>
      </w:r>
    </w:p>
    <w:p w:rsidR="008F5BA3" w:rsidRPr="00072D2B" w:rsidRDefault="008F5BA3" w:rsidP="00072D2B">
      <w:pPr>
        <w:pStyle w:val="TOC1"/>
      </w:pPr>
      <w:r w:rsidRPr="00072D2B">
        <w:t>10.</w:t>
      </w:r>
      <w:r w:rsidRPr="00072D2B">
        <w:tab/>
        <w:t>Common Area Maintenance Expenses</w:t>
      </w:r>
      <w:r w:rsidRPr="00072D2B">
        <w:tab/>
      </w:r>
      <w:r w:rsidRPr="00072D2B">
        <w:fldChar w:fldCharType="begin"/>
      </w:r>
      <w:r w:rsidRPr="00072D2B">
        <w:instrText xml:space="preserve"> PAGEREF _Toc330293790 \h </w:instrText>
      </w:r>
      <w:r w:rsidRPr="00072D2B">
        <w:fldChar w:fldCharType="separate"/>
      </w:r>
      <w:r>
        <w:t>20</w:t>
      </w:r>
      <w:r w:rsidRPr="00072D2B">
        <w:fldChar w:fldCharType="end"/>
      </w:r>
    </w:p>
    <w:p w:rsidR="008F5BA3" w:rsidRPr="00335D8C" w:rsidRDefault="008F5BA3" w:rsidP="00C86FDD">
      <w:r w:rsidRPr="00072D2B">
        <w:fldChar w:fldCharType="end"/>
      </w:r>
    </w:p>
    <w:p w:rsidR="008F5BA3" w:rsidRDefault="008F5BA3" w:rsidP="00673BA6">
      <w:pPr>
        <w:pStyle w:val="Heading1"/>
        <w:rPr>
          <w:bCs w:val="0"/>
        </w:rPr>
        <w:sectPr w:rsidR="008F5BA3" w:rsidSect="00C86FDD">
          <w:headerReference w:type="default" r:id="rId13"/>
          <w:footerReference w:type="default" r:id="rId14"/>
          <w:headerReference w:type="first" r:id="rId15"/>
          <w:footerReference w:type="first" r:id="rId16"/>
          <w:pgSz w:w="12240" w:h="15840" w:code="5"/>
          <w:pgMar w:top="1440" w:right="1440" w:bottom="1440" w:left="1440" w:header="720" w:footer="288" w:gutter="0"/>
          <w:pgNumType w:fmt="lowerRoman" w:start="1"/>
          <w:cols w:space="720"/>
          <w:titlePg/>
          <w:docGrid w:linePitch="326"/>
        </w:sectPr>
      </w:pPr>
    </w:p>
    <w:p w:rsidR="008F5BA3" w:rsidRDefault="008F5BA3" w:rsidP="00FD2844">
      <w:pPr>
        <w:pStyle w:val="Heading1"/>
      </w:pPr>
      <w:bookmarkStart w:id="0" w:name="_Toc330293781"/>
      <w:r w:rsidRPr="00404F91">
        <w:t>Estoppel Certificates</w:t>
      </w:r>
      <w:bookmarkEnd w:id="0"/>
    </w:p>
    <w:p w:rsidR="008F5BA3" w:rsidRDefault="008F5BA3" w:rsidP="00FD2844">
      <w:pPr>
        <w:pStyle w:val="Body"/>
        <w:rPr>
          <w:b/>
        </w:rPr>
      </w:pPr>
      <w:r w:rsidRPr="00404F91">
        <w:rPr>
          <w:u w:val="single"/>
        </w:rPr>
        <w:t>Holding</w:t>
      </w:r>
      <w:r>
        <w:rPr>
          <w:b/>
        </w:rPr>
        <w:t xml:space="preserve">:  </w:t>
      </w:r>
      <w:r w:rsidRPr="00587663">
        <w:t>Signing an estoppel certificate without indicating any defaults of a lease, bars Tenant from recovering damages for Landlord</w:t>
      </w:r>
      <w:r>
        <w:rPr>
          <w:b/>
        </w:rPr>
        <w:t>'</w:t>
      </w:r>
      <w:r w:rsidRPr="00587663">
        <w:t xml:space="preserve">s violation of an exclusive-use provision in the lease </w:t>
      </w:r>
      <w:r w:rsidRPr="00404F91">
        <w:rPr>
          <w:b/>
        </w:rPr>
        <w:t>even though the estoppel was limited to Tenant</w:t>
      </w:r>
      <w:r>
        <w:t>'</w:t>
      </w:r>
      <w:r w:rsidRPr="00404F91">
        <w:rPr>
          <w:b/>
        </w:rPr>
        <w:t>s knowledge</w:t>
      </w:r>
      <w:r w:rsidRPr="00587663">
        <w:t xml:space="preserve"> because Tenant </w:t>
      </w:r>
      <w:r>
        <w:rPr>
          <w:b/>
        </w:rPr>
        <w:t>"</w:t>
      </w:r>
      <w:r w:rsidRPr="00587663">
        <w:t>knew</w:t>
      </w:r>
      <w:r>
        <w:rPr>
          <w:b/>
        </w:rPr>
        <w:t>"</w:t>
      </w:r>
      <w:r w:rsidRPr="00587663">
        <w:t xml:space="preserve"> of the violating action prior to signing the estoppel certificate and new Landlord reasonably relied on Tenant</w:t>
      </w:r>
      <w:r>
        <w:rPr>
          <w:b/>
        </w:rPr>
        <w:t>'</w:t>
      </w:r>
      <w:r w:rsidRPr="00587663">
        <w:t>s statement in purchasing interest in the shopping center from current Landlord. (</w:t>
      </w:r>
      <w:r w:rsidRPr="00404F91">
        <w:rPr>
          <w:i/>
        </w:rPr>
        <w:t>Office Depot, Inc.</w:t>
      </w:r>
      <w:r>
        <w:rPr>
          <w:i/>
        </w:rPr>
        <w:t xml:space="preserve"> v. </w:t>
      </w:r>
      <w:r w:rsidRPr="00404F91">
        <w:rPr>
          <w:i/>
        </w:rPr>
        <w:t>Dist. at Howell Mill, LLC</w:t>
      </w:r>
      <w:r w:rsidRPr="00587663">
        <w:t>, 309 Ga. App. 525 (2011))</w:t>
      </w:r>
    </w:p>
    <w:p w:rsidR="008F5BA3" w:rsidRDefault="008F5BA3" w:rsidP="00FD2844">
      <w:pPr>
        <w:pStyle w:val="Body"/>
        <w:rPr>
          <w:b/>
        </w:rPr>
      </w:pPr>
      <w:r w:rsidRPr="00404F91">
        <w:rPr>
          <w:u w:val="single"/>
        </w:rPr>
        <w:t>Discussion</w:t>
      </w:r>
      <w:r>
        <w:rPr>
          <w:b/>
        </w:rPr>
        <w:t xml:space="preserve">:  </w:t>
      </w:r>
      <w:r w:rsidRPr="00587663">
        <w:t>In December 2005, Office Depot, Inc. (</w:t>
      </w:r>
      <w:r>
        <w:rPr>
          <w:b/>
        </w:rPr>
        <w:t>"</w:t>
      </w:r>
      <w:r w:rsidRPr="00587663">
        <w:t>Office Depot</w:t>
      </w:r>
      <w:r>
        <w:rPr>
          <w:b/>
        </w:rPr>
        <w:t>"</w:t>
      </w:r>
      <w:r w:rsidRPr="00587663">
        <w:t>) signed a lease with The District at Howell Mill, LLC (</w:t>
      </w:r>
      <w:r>
        <w:rPr>
          <w:b/>
        </w:rPr>
        <w:t>"</w:t>
      </w:r>
      <w:r w:rsidRPr="00587663">
        <w:t>the District</w:t>
      </w:r>
      <w:r>
        <w:rPr>
          <w:b/>
        </w:rPr>
        <w:t>"</w:t>
      </w:r>
      <w:r w:rsidRPr="00587663">
        <w:t>) to rent commercial space in the District</w:t>
      </w:r>
      <w:r>
        <w:rPr>
          <w:b/>
        </w:rPr>
        <w:t>'</w:t>
      </w:r>
      <w:r w:rsidRPr="00587663">
        <w:t xml:space="preserve">s shopping center. The lease contained an exclusive-use provision which prohibited the District from leasing space in the shopping center to </w:t>
      </w:r>
      <w:r>
        <w:rPr>
          <w:b/>
        </w:rPr>
        <w:t>"</w:t>
      </w:r>
      <w:r w:rsidRPr="00587663">
        <w:t>any person or entity whose primary business, at the time of such lease or operating agreement is executed is the sale, leasing, distribution or display of</w:t>
      </w:r>
      <w:r>
        <w:t xml:space="preserve"> . . .</w:t>
      </w:r>
      <w:r w:rsidRPr="00587663">
        <w:t xml:space="preserve"> school supplies.</w:t>
      </w:r>
      <w:r>
        <w:rPr>
          <w:b/>
        </w:rPr>
        <w:t>"</w:t>
      </w:r>
      <w:r w:rsidRPr="00587663">
        <w:t xml:space="preserve"> (309 Ga. App. at 526.)</w:t>
      </w:r>
    </w:p>
    <w:p w:rsidR="008F5BA3" w:rsidRDefault="008F5BA3" w:rsidP="00FD2844">
      <w:pPr>
        <w:pStyle w:val="Body"/>
        <w:rPr>
          <w:b/>
        </w:rPr>
      </w:pPr>
      <w:r w:rsidRPr="00587663">
        <w:t>About 18 months after entering into the lease with Office Depot, the District leased space in the shopping center to The School Box. The School Box opened its store in November 2006.</w:t>
      </w:r>
    </w:p>
    <w:p w:rsidR="008F5BA3" w:rsidRDefault="008F5BA3" w:rsidP="00FD2844">
      <w:pPr>
        <w:pStyle w:val="Body"/>
        <w:rPr>
          <w:b/>
        </w:rPr>
      </w:pPr>
      <w:r w:rsidRPr="00587663">
        <w:t>ELPF Howell Mill, LLC (</w:t>
      </w:r>
      <w:r>
        <w:rPr>
          <w:b/>
        </w:rPr>
        <w:t>"</w:t>
      </w:r>
      <w:r w:rsidRPr="00587663">
        <w:t>ELPF</w:t>
      </w:r>
      <w:r>
        <w:rPr>
          <w:b/>
        </w:rPr>
        <w:t>"</w:t>
      </w:r>
      <w:r w:rsidRPr="00587663">
        <w:t>) began negotiations with the District to purchase a majority interest in the shopping center. ELPF asked Office Depot to provide an estoppel certificate indicating the current state of Office Depot</w:t>
      </w:r>
      <w:r>
        <w:rPr>
          <w:b/>
        </w:rPr>
        <w:t>'</w:t>
      </w:r>
      <w:r w:rsidRPr="00587663">
        <w:t>s lease with the District.  Office Depot provided the certificate to ELPF on April</w:t>
      </w:r>
      <w:r>
        <w:t> </w:t>
      </w:r>
      <w:r w:rsidRPr="00587663">
        <w:t xml:space="preserve">24, 2007. The certificate stated that </w:t>
      </w:r>
      <w:r>
        <w:rPr>
          <w:b/>
        </w:rPr>
        <w:t>"</w:t>
      </w:r>
      <w:r w:rsidRPr="00587663">
        <w:t>[t]o Tenant</w:t>
      </w:r>
      <w:r>
        <w:rPr>
          <w:b/>
        </w:rPr>
        <w:t>'</w:t>
      </w:r>
      <w:r w:rsidRPr="00587663">
        <w:t>s knowledge, Landlord is not in default in the performance or observance of any of its obligations under any terms or provisions of the Lease.</w:t>
      </w:r>
      <w:r>
        <w:rPr>
          <w:b/>
        </w:rPr>
        <w:t>"</w:t>
      </w:r>
      <w:r w:rsidRPr="00587663">
        <w:t xml:space="preserve"> (</w:t>
      </w:r>
      <w:r w:rsidRPr="00B81883">
        <w:rPr>
          <w:i/>
          <w:iCs/>
        </w:rPr>
        <w:t>Id</w:t>
      </w:r>
      <w:r w:rsidRPr="00404F91">
        <w:rPr>
          <w:i/>
        </w:rPr>
        <w:t>.</w:t>
      </w:r>
      <w:r w:rsidRPr="00587663">
        <w:t xml:space="preserve"> at 527.) In June 2007, the District assigned part of its interest in the shopping center leases to ELPF.</w:t>
      </w:r>
    </w:p>
    <w:p w:rsidR="008F5BA3" w:rsidRDefault="008F5BA3" w:rsidP="00FD2844">
      <w:pPr>
        <w:pStyle w:val="Body"/>
        <w:rPr>
          <w:b/>
        </w:rPr>
      </w:pPr>
      <w:r w:rsidRPr="00587663">
        <w:t>On December</w:t>
      </w:r>
      <w:r>
        <w:t> </w:t>
      </w:r>
      <w:r w:rsidRPr="00587663">
        <w:t xml:space="preserve">6, 2007, Office Depot notified the District that it would begin paying a reduced </w:t>
      </w:r>
      <w:r>
        <w:rPr>
          <w:b/>
        </w:rPr>
        <w:t>"</w:t>
      </w:r>
      <w:r w:rsidRPr="00587663">
        <w:t>Alternative Rent</w:t>
      </w:r>
      <w:r>
        <w:rPr>
          <w:b/>
        </w:rPr>
        <w:t>"</w:t>
      </w:r>
      <w:r w:rsidRPr="00587663">
        <w:t xml:space="preserve"> in 60 days because the landlord had violated the lease</w:t>
      </w:r>
      <w:r>
        <w:rPr>
          <w:b/>
        </w:rPr>
        <w:t>'</w:t>
      </w:r>
      <w:r w:rsidRPr="00587663">
        <w:t>s exclusive-use provision by leasing space to The School Box. Office Depot filed a petition for declaratory relief and damages against the District and ELPF in May 2009 for damages resulting from the Landlords</w:t>
      </w:r>
      <w:r>
        <w:rPr>
          <w:b/>
        </w:rPr>
        <w:t>'</w:t>
      </w:r>
      <w:r w:rsidRPr="00587663">
        <w:t xml:space="preserve"> breach of the exclusive-use provision of the lease and to authorize Office Depot to pay the reduced rent or to terminate the lease. The District and ELPF counterclaimed for withheld rent and attorney fees. The parties also filed cross-motions for summary judgment.</w:t>
      </w:r>
    </w:p>
    <w:p w:rsidR="008F5BA3" w:rsidRPr="00587663" w:rsidRDefault="008F5BA3" w:rsidP="00FD2844">
      <w:pPr>
        <w:pStyle w:val="Body"/>
      </w:pPr>
      <w:r w:rsidRPr="00587663">
        <w:t>The Court of Appeals affirmed the trial court</w:t>
      </w:r>
      <w:r>
        <w:rPr>
          <w:b/>
        </w:rPr>
        <w:t>'</w:t>
      </w:r>
      <w:r w:rsidRPr="00587663">
        <w:t>s grant of summary judgment to the Landlords, holding that Office Depot was precluded from bringing a breach of contract claim because they signed an estoppel certificate stating that the District was not in default on the lease. In reaching this conclusion, the Court of Appeals noted that ELPF had reasonably relied on Office Depot</w:t>
      </w:r>
      <w:r>
        <w:rPr>
          <w:b/>
        </w:rPr>
        <w:t>'</w:t>
      </w:r>
      <w:r w:rsidRPr="00587663">
        <w:t xml:space="preserve">s </w:t>
      </w:r>
      <w:r>
        <w:rPr>
          <w:b/>
        </w:rPr>
        <w:t>"</w:t>
      </w:r>
      <w:r w:rsidRPr="00587663">
        <w:t>clean</w:t>
      </w:r>
      <w:r>
        <w:rPr>
          <w:b/>
        </w:rPr>
        <w:t>"</w:t>
      </w:r>
      <w:r w:rsidRPr="00587663">
        <w:t xml:space="preserve"> estoppel certificate in purchasing a majority portion of the shopping center from the District. Office Depot argued that ELPF</w:t>
      </w:r>
      <w:r>
        <w:rPr>
          <w:b/>
        </w:rPr>
        <w:t>'</w:t>
      </w:r>
      <w:r w:rsidRPr="00587663">
        <w:t>s reliance on the estoppel certificate was unreasonable because ELPF knew that The School Box lease violated Office Depot</w:t>
      </w:r>
      <w:r>
        <w:rPr>
          <w:b/>
        </w:rPr>
        <w:t>'</w:t>
      </w:r>
      <w:r w:rsidRPr="00587663">
        <w:t>s exclusive-use provision. The Court, however, rejected this argument, stating that ELPF</w:t>
      </w:r>
      <w:r>
        <w:rPr>
          <w:b/>
        </w:rPr>
        <w:t>'</w:t>
      </w:r>
      <w:r w:rsidRPr="00587663">
        <w:t>s reliance was reasonable because ELPF had investigated The School Box and determined that the store did not violate Office Depot</w:t>
      </w:r>
      <w:r>
        <w:rPr>
          <w:b/>
        </w:rPr>
        <w:t>'</w:t>
      </w:r>
      <w:r w:rsidRPr="00587663">
        <w:t>s exclusive-use provision because selling school supplies was not The School Box</w:t>
      </w:r>
      <w:r>
        <w:rPr>
          <w:b/>
        </w:rPr>
        <w:t>'</w:t>
      </w:r>
      <w:r w:rsidRPr="00587663">
        <w:t xml:space="preserve">s </w:t>
      </w:r>
      <w:r>
        <w:rPr>
          <w:b/>
        </w:rPr>
        <w:t>"</w:t>
      </w:r>
      <w:r w:rsidRPr="00587663">
        <w:t>primary business.</w:t>
      </w:r>
      <w:r>
        <w:rPr>
          <w:b/>
        </w:rPr>
        <w:t>"</w:t>
      </w:r>
      <w:r w:rsidRPr="00587663">
        <w:t xml:space="preserve"> (</w:t>
      </w:r>
      <w:r w:rsidRPr="00B81883">
        <w:rPr>
          <w:i/>
          <w:iCs/>
        </w:rPr>
        <w:t>Id</w:t>
      </w:r>
      <w:r w:rsidRPr="00404F91">
        <w:rPr>
          <w:i/>
        </w:rPr>
        <w:t>.</w:t>
      </w:r>
      <w:r w:rsidRPr="00587663">
        <w:t xml:space="preserve"> at 528.)</w:t>
      </w:r>
    </w:p>
    <w:p w:rsidR="008F5BA3" w:rsidRPr="00E14E90" w:rsidRDefault="008F5BA3" w:rsidP="00FD2844">
      <w:pPr>
        <w:pStyle w:val="Body"/>
        <w:rPr>
          <w:b/>
        </w:rPr>
      </w:pPr>
      <w:r w:rsidRPr="00587663">
        <w:t>A separate section of Office Depot</w:t>
      </w:r>
      <w:r>
        <w:rPr>
          <w:b/>
        </w:rPr>
        <w:t>'</w:t>
      </w:r>
      <w:r w:rsidRPr="00587663">
        <w:t>s lease with the District stated</w:t>
      </w:r>
      <w:r w:rsidRPr="00E14E90">
        <w:t>:</w:t>
      </w:r>
    </w:p>
    <w:p w:rsidR="008F5BA3" w:rsidRPr="00587663" w:rsidRDefault="008F5BA3" w:rsidP="00FD2844">
      <w:pPr>
        <w:pStyle w:val="Quote"/>
        <w:jc w:val="center"/>
      </w:pPr>
      <w:r w:rsidRPr="00587663">
        <w:t>Breach of Landlord</w:t>
      </w:r>
      <w:r>
        <w:rPr>
          <w:b/>
        </w:rPr>
        <w:t>'</w:t>
      </w:r>
      <w:r w:rsidRPr="00587663">
        <w:t>s Leasing Covenant.</w:t>
      </w:r>
    </w:p>
    <w:p w:rsidR="008F5BA3" w:rsidRDefault="008F5BA3" w:rsidP="00FD2844">
      <w:pPr>
        <w:pStyle w:val="Quote"/>
        <w:rPr>
          <w:b/>
        </w:rPr>
      </w:pPr>
      <w:r w:rsidRPr="00587663">
        <w:t xml:space="preserve">In the event Landlord violates </w:t>
      </w:r>
      <w:r>
        <w:rPr>
          <w:b/>
        </w:rPr>
        <w:t>"</w:t>
      </w:r>
      <w:r w:rsidRPr="00587663">
        <w:t>Landlord</w:t>
      </w:r>
      <w:r>
        <w:rPr>
          <w:b/>
        </w:rPr>
        <w:t>'</w:t>
      </w:r>
      <w:r w:rsidRPr="00587663">
        <w:t>s Leasing Covenant</w:t>
      </w:r>
      <w:r>
        <w:rPr>
          <w:b/>
        </w:rPr>
        <w:t>"</w:t>
      </w:r>
      <w:r w:rsidRPr="00587663">
        <w:t xml:space="preserve"> [the exclusive-use provision], Tenant shall have the right beginning sixty (60) days following written notice alleging such violation</w:t>
      </w:r>
      <w:r>
        <w:t xml:space="preserve"> . . .</w:t>
      </w:r>
      <w:r w:rsidRPr="00587663">
        <w:t xml:space="preserve"> to pay Alternative Rent</w:t>
      </w:r>
      <w:r>
        <w:t xml:space="preserve"> . . .</w:t>
      </w:r>
      <w:r w:rsidRPr="00587663">
        <w:t xml:space="preserve"> until such time as landlord cures such violation. </w:t>
      </w:r>
      <w:r w:rsidRPr="00404F91">
        <w:rPr>
          <w:i/>
        </w:rPr>
        <w:t>If landlord fails to commence and diligently pursue a judicial action to contest Tenant</w:t>
      </w:r>
      <w:r>
        <w:rPr>
          <w:b/>
          <w:i/>
        </w:rPr>
        <w:t>'</w:t>
      </w:r>
      <w:r w:rsidRPr="00404F91">
        <w:rPr>
          <w:i/>
        </w:rPr>
        <w:t>s assertion of such a violation within six (6) months</w:t>
      </w:r>
      <w:r w:rsidRPr="00587663">
        <w:t xml:space="preserve"> of such assertion, then in addition to its other rights at law or in equity, </w:t>
      </w:r>
      <w:r w:rsidRPr="00404F91">
        <w:rPr>
          <w:i/>
        </w:rPr>
        <w:t xml:space="preserve">Tenant may terminate this Lease </w:t>
      </w:r>
      <w:r w:rsidRPr="00587663">
        <w:t>by delivering written notice of such election to Landlord.</w:t>
      </w:r>
    </w:p>
    <w:p w:rsidR="008F5BA3" w:rsidRDefault="008F5BA3" w:rsidP="00FD2844">
      <w:pPr>
        <w:pStyle w:val="Body"/>
        <w:rPr>
          <w:b/>
        </w:rPr>
      </w:pPr>
      <w:r w:rsidRPr="00587663">
        <w:t xml:space="preserve">Based on this language, Office Depot argued that because the Landlords waited fifteen months to raise a claim, Office Depot had the right to terminate the lease, regardless of whether a breach actually occurred. The Court, however, rejected this argument, stating that, </w:t>
      </w:r>
      <w:r>
        <w:rPr>
          <w:b/>
        </w:rPr>
        <w:t>"</w:t>
      </w:r>
      <w:r w:rsidRPr="00587663">
        <w:t>the paragraph allows a tenant to terminate its lease if the landlord fails to commence a judicial proceeding to contest a breach allegation when there is, in fact, a breach.</w:t>
      </w:r>
      <w:r>
        <w:rPr>
          <w:b/>
        </w:rPr>
        <w:t>"</w:t>
      </w:r>
      <w:r w:rsidRPr="00587663">
        <w:t xml:space="preserve"> (</w:t>
      </w:r>
      <w:r w:rsidRPr="00B81883">
        <w:rPr>
          <w:i/>
          <w:iCs/>
        </w:rPr>
        <w:t>Id</w:t>
      </w:r>
      <w:r w:rsidRPr="00404F91">
        <w:rPr>
          <w:i/>
        </w:rPr>
        <w:t>.</w:t>
      </w:r>
      <w:r w:rsidRPr="00587663">
        <w:t xml:space="preserve"> at 530.) Because the Court found that the estoppel certificate barred Office Depot from claiming that the Landlords breached the exclusive-use provision, the Court held that Office Depot could not terminate the lease and avoid liability under this section of the lease either.</w:t>
      </w:r>
    </w:p>
    <w:p w:rsidR="008F5BA3" w:rsidRDefault="008F5BA3" w:rsidP="00FD2844">
      <w:pPr>
        <w:pStyle w:val="Heading2"/>
        <w:rPr>
          <w:u w:val="none"/>
        </w:rPr>
      </w:pPr>
      <w:r w:rsidRPr="00404F91">
        <w:t>Practice Pointer</w:t>
      </w:r>
    </w:p>
    <w:p w:rsidR="008F5BA3" w:rsidRDefault="008F5BA3" w:rsidP="00FD2844">
      <w:pPr>
        <w:pStyle w:val="Body"/>
        <w:rPr>
          <w:b/>
        </w:rPr>
      </w:pPr>
      <w:r w:rsidRPr="00587663">
        <w:t>When issuing an estoppel certificate, be sure to perform an examination of the premises and the lease before indicating that there are no defaults in the lease.</w:t>
      </w:r>
    </w:p>
    <w:p w:rsidR="008F5BA3" w:rsidRDefault="008F5BA3" w:rsidP="00FD2844">
      <w:pPr>
        <w:pStyle w:val="Body"/>
        <w:rPr>
          <w:b/>
        </w:rPr>
      </w:pPr>
      <w:r w:rsidRPr="00587663">
        <w:t>If there are defaults in the lease, be sure to outline these explicitly in the estoppel agreement in order to avoid subsequently being precluded from raising a claim for the defaults.</w:t>
      </w:r>
    </w:p>
    <w:p w:rsidR="008F5BA3" w:rsidRDefault="008F5BA3" w:rsidP="00FD2844">
      <w:pPr>
        <w:pStyle w:val="Heading2"/>
        <w:rPr>
          <w:u w:val="none"/>
        </w:rPr>
      </w:pPr>
      <w:r w:rsidRPr="00404F91">
        <w:t>Related Cases</w:t>
      </w:r>
    </w:p>
    <w:p w:rsidR="008F5BA3" w:rsidRPr="00587663" w:rsidRDefault="008F5BA3" w:rsidP="00FD2844">
      <w:pPr>
        <w:pStyle w:val="BodyNumbered"/>
        <w:numPr>
          <w:ilvl w:val="0"/>
          <w:numId w:val="38"/>
        </w:numPr>
        <w:ind w:left="0"/>
      </w:pPr>
      <w:r w:rsidRPr="000B4E33">
        <w:rPr>
          <w:i/>
        </w:rPr>
        <w:t>Fundus Am. (Atlanta) Ltd. P</w:t>
      </w:r>
      <w:r>
        <w:rPr>
          <w:b/>
          <w:i/>
        </w:rPr>
        <w:t>'</w:t>
      </w:r>
      <w:r w:rsidRPr="000B4E33">
        <w:rPr>
          <w:i/>
        </w:rPr>
        <w:t>ship v. RHOC Consolidation, LLC</w:t>
      </w:r>
      <w:r w:rsidRPr="00587663">
        <w:t>, 313 Ga. App. 118, 720 S.E.2d 176 (2011), reconsideration denied (Dec.</w:t>
      </w:r>
      <w:r>
        <w:t> </w:t>
      </w:r>
      <w:r w:rsidRPr="00587663">
        <w:t>1, 2011), cert. denied (Apr.</w:t>
      </w:r>
      <w:r>
        <w:t> </w:t>
      </w:r>
      <w:r w:rsidRPr="00587663">
        <w:t>24, 2012) (holding that landlord could not terminate a lease based on tenant</w:t>
      </w:r>
      <w:r>
        <w:rPr>
          <w:b/>
        </w:rPr>
        <w:t>'</w:t>
      </w:r>
      <w:r w:rsidRPr="00587663">
        <w:t>s failure to perform $35 million of necessary repairs because landlord signed an estoppel certificate stating that all obligations of the lease had been performed).</w:t>
      </w:r>
    </w:p>
    <w:p w:rsidR="008F5BA3" w:rsidRPr="00587663" w:rsidRDefault="008F5BA3" w:rsidP="00FD2844">
      <w:pPr>
        <w:pStyle w:val="BodyNumbered"/>
        <w:numPr>
          <w:ilvl w:val="0"/>
          <w:numId w:val="34"/>
        </w:numPr>
        <w:ind w:left="0"/>
      </w:pPr>
      <w:r w:rsidRPr="00404F91">
        <w:rPr>
          <w:i/>
        </w:rPr>
        <w:t>K</w:t>
      </w:r>
      <w:r>
        <w:rPr>
          <w:b/>
          <w:i/>
        </w:rPr>
        <w:t>'</w:t>
      </w:r>
      <w:r w:rsidRPr="00404F91">
        <w:rPr>
          <w:i/>
        </w:rPr>
        <w:t>s Merch. Mart, Inc.</w:t>
      </w:r>
      <w:r>
        <w:rPr>
          <w:i/>
        </w:rPr>
        <w:t xml:space="preserve"> v. </w:t>
      </w:r>
      <w:r w:rsidRPr="00404F91">
        <w:rPr>
          <w:i/>
        </w:rPr>
        <w:t>Northgate Ltd. P</w:t>
      </w:r>
      <w:r>
        <w:rPr>
          <w:b/>
          <w:i/>
        </w:rPr>
        <w:t>'</w:t>
      </w:r>
      <w:r w:rsidRPr="00404F91">
        <w:rPr>
          <w:i/>
        </w:rPr>
        <w:t>ship</w:t>
      </w:r>
      <w:r w:rsidRPr="00587663">
        <w:t>, 359 Ill. App. 3d 1137, 835 N.E.2d 965 (2005). The appellate court upheld the trial court</w:t>
      </w:r>
      <w:r>
        <w:rPr>
          <w:b/>
        </w:rPr>
        <w:t>'</w:t>
      </w:r>
      <w:r w:rsidRPr="00587663">
        <w:t>s ruling that tenant was not required to pay landlord management fees for the common-area of the shopping center where tenant had leased commercial space. The estoppel certificate signed by tenant stated that the lease was correct and that tenant</w:t>
      </w:r>
      <w:r>
        <w:rPr>
          <w:b/>
        </w:rPr>
        <w:t>'</w:t>
      </w:r>
      <w:r w:rsidRPr="00587663">
        <w:t xml:space="preserve">s percentage share of common-area expenses was 48.89%. The court held that this did not require tenant to pay a 5% management fee for the common-area space when nothing in the lease explicitly stated that tenant was to pay a management fee and there was insufficient course of performance prior to signing the estoppel certificate to suggest that tenant had consented to paying the management fees. The court noted that an estoppel certificate will only preclude a party from raising a claim based on </w:t>
      </w:r>
      <w:r>
        <w:rPr>
          <w:b/>
        </w:rPr>
        <w:t>"</w:t>
      </w:r>
      <w:r w:rsidRPr="00587663">
        <w:t>(1) facts which are specifically set out [in the lease], or (2) the course of performance under the lease, if the estoppel certificate states there are no defaults.</w:t>
      </w:r>
      <w:r>
        <w:rPr>
          <w:b/>
        </w:rPr>
        <w:t>"</w:t>
      </w:r>
      <w:r w:rsidRPr="00587663">
        <w:t xml:space="preserve">  </w:t>
      </w:r>
      <w:r w:rsidRPr="00B81883">
        <w:rPr>
          <w:i/>
          <w:iCs/>
        </w:rPr>
        <w:t>Id</w:t>
      </w:r>
      <w:r w:rsidRPr="00404F91">
        <w:rPr>
          <w:i/>
        </w:rPr>
        <w:t>.</w:t>
      </w:r>
      <w:r w:rsidRPr="00587663">
        <w:t xml:space="preserve"> at 1145.</w:t>
      </w:r>
    </w:p>
    <w:p w:rsidR="008F5BA3" w:rsidRPr="00587663" w:rsidRDefault="008F5BA3" w:rsidP="00FD2844">
      <w:pPr>
        <w:pStyle w:val="BodyNumbered"/>
        <w:numPr>
          <w:ilvl w:val="0"/>
          <w:numId w:val="34"/>
        </w:numPr>
        <w:ind w:left="0"/>
      </w:pPr>
      <w:r w:rsidRPr="00404F91">
        <w:rPr>
          <w:i/>
        </w:rPr>
        <w:t>Mark-It Place Foods, Inc.</w:t>
      </w:r>
      <w:r>
        <w:rPr>
          <w:i/>
        </w:rPr>
        <w:t xml:space="preserve"> v. </w:t>
      </w:r>
      <w:r w:rsidRPr="00404F91">
        <w:rPr>
          <w:i/>
        </w:rPr>
        <w:t>New Plan Excel Realty Trust</w:t>
      </w:r>
      <w:r w:rsidRPr="00587663">
        <w:t>, 156 Ohio App. 3d 65, 804 N.E.2d 979 (2004). Evidence showed that an estoppel certificate signed by a sublessor included fraudulent representations, as well as language stating that the estoppel certificate could be relied upon. The Court of Appeals affirmed the trial court</w:t>
      </w:r>
      <w:r>
        <w:rPr>
          <w:b/>
        </w:rPr>
        <w:t>'</w:t>
      </w:r>
      <w:r w:rsidRPr="00587663">
        <w:t>s denial of summary judgment for the lessor, finding that while the lessor had met its initial burden of proving that it had detrimentally relied on the sublessor</w:t>
      </w:r>
      <w:r>
        <w:rPr>
          <w:b/>
        </w:rPr>
        <w:t>'</w:t>
      </w:r>
      <w:r w:rsidRPr="00587663">
        <w:t>s clean estoppel certificate, the sublessor had also satisfied its burden of rebuttal that the lessor</w:t>
      </w:r>
      <w:r>
        <w:rPr>
          <w:b/>
        </w:rPr>
        <w:t>'</w:t>
      </w:r>
      <w:r w:rsidRPr="00587663">
        <w:t>s reliance was not reasonable and, thus, raised a genuine issue of material fact that precluded summary judgment. The reasonability of the lessor</w:t>
      </w:r>
      <w:r>
        <w:rPr>
          <w:b/>
        </w:rPr>
        <w:t>'</w:t>
      </w:r>
      <w:r w:rsidRPr="00587663">
        <w:t>s reliance was called into question by evidence that the lessor knew of the breach of an exclusive-use provision in the lease before it acquired the property from the previous lessor.</w:t>
      </w:r>
    </w:p>
    <w:p w:rsidR="008F5BA3" w:rsidRPr="00587663" w:rsidRDefault="008F5BA3" w:rsidP="00FD2844">
      <w:pPr>
        <w:pStyle w:val="BodyNumbered"/>
        <w:numPr>
          <w:ilvl w:val="0"/>
          <w:numId w:val="34"/>
        </w:numPr>
        <w:ind w:left="0"/>
      </w:pPr>
      <w:r w:rsidRPr="00404F91">
        <w:rPr>
          <w:i/>
        </w:rPr>
        <w:t>Plaza Freeway Ltd. P</w:t>
      </w:r>
      <w:r>
        <w:rPr>
          <w:b/>
          <w:i/>
        </w:rPr>
        <w:t>'</w:t>
      </w:r>
      <w:r w:rsidRPr="00404F91">
        <w:rPr>
          <w:i/>
        </w:rPr>
        <w:t>ship</w:t>
      </w:r>
      <w:r>
        <w:rPr>
          <w:i/>
        </w:rPr>
        <w:t xml:space="preserve"> v. </w:t>
      </w:r>
      <w:r w:rsidRPr="00404F91">
        <w:rPr>
          <w:i/>
        </w:rPr>
        <w:t>First Mountain Bank</w:t>
      </w:r>
      <w:r w:rsidRPr="00587663">
        <w:t>, 81 Cal. App. 4th 616, 96 Cal. Rptr. 2d 865 (2000) (holding a lease termination date in an estoppel certificate to be binding under section 622 of the California Evidence Code despite the original lease having a later termination date).</w:t>
      </w:r>
    </w:p>
    <w:p w:rsidR="008F5BA3" w:rsidRPr="00673BA6" w:rsidRDefault="008F5BA3" w:rsidP="000B4E33">
      <w:pPr>
        <w:pStyle w:val="Heading1"/>
        <w:rPr>
          <w:bCs w:val="0"/>
        </w:rPr>
      </w:pPr>
      <w:bookmarkStart w:id="1" w:name="_Toc330293782"/>
      <w:r w:rsidRPr="00673BA6">
        <w:rPr>
          <w:bCs w:val="0"/>
        </w:rPr>
        <w:t>Letters of Intent</w:t>
      </w:r>
      <w:bookmarkEnd w:id="1"/>
    </w:p>
    <w:p w:rsidR="008F5BA3" w:rsidRPr="004A5F0B" w:rsidRDefault="008F5BA3" w:rsidP="000B4E33">
      <w:pPr>
        <w:pStyle w:val="Body"/>
        <w:rPr>
          <w:b/>
          <w:i/>
        </w:rPr>
      </w:pPr>
      <w:r w:rsidRPr="000A59CF">
        <w:rPr>
          <w:u w:val="single"/>
        </w:rPr>
        <w:t>Holding</w:t>
      </w:r>
      <w:r>
        <w:t>:  Language that a letter of intent is "subject to" execution of a formal agreement does not make the letter of intent non-binding as a matter of law.  (</w:t>
      </w:r>
      <w:r w:rsidRPr="0065472B">
        <w:rPr>
          <w:i/>
        </w:rPr>
        <w:t>First</w:t>
      </w:r>
      <w:r w:rsidRPr="0065472B">
        <w:rPr>
          <w:b/>
          <w:i/>
        </w:rPr>
        <w:t xml:space="preserve"> </w:t>
      </w:r>
      <w:r w:rsidRPr="0065472B">
        <w:rPr>
          <w:i/>
        </w:rPr>
        <w:t>National Mortgage Company</w:t>
      </w:r>
      <w:r>
        <w:rPr>
          <w:i/>
        </w:rPr>
        <w:t xml:space="preserve"> v. </w:t>
      </w:r>
      <w:r w:rsidRPr="0065472B">
        <w:rPr>
          <w:i/>
        </w:rPr>
        <w:t>Federal Realty Investment Trust</w:t>
      </w:r>
      <w:r w:rsidRPr="0065472B">
        <w:t>,</w:t>
      </w:r>
      <w:r>
        <w:t xml:space="preserve"> </w:t>
      </w:r>
      <w:r w:rsidRPr="0065472B">
        <w:t>631 F.3d 1058, 1063 (9</w:t>
      </w:r>
      <w:r w:rsidRPr="0065472B">
        <w:rPr>
          <w:vertAlign w:val="superscript"/>
        </w:rPr>
        <w:t>th</w:t>
      </w:r>
      <w:r w:rsidRPr="0065472B">
        <w:t xml:space="preserve"> Cir. 2011)</w:t>
      </w:r>
      <w:r>
        <w:t>.)</w:t>
      </w:r>
    </w:p>
    <w:p w:rsidR="008F5BA3" w:rsidRDefault="008F5BA3" w:rsidP="000B4E33">
      <w:pPr>
        <w:pStyle w:val="Body"/>
      </w:pPr>
      <w:r>
        <w:rPr>
          <w:u w:val="single"/>
        </w:rPr>
        <w:t>Discussion</w:t>
      </w:r>
      <w:r>
        <w:t>:  Federal Realty and First National engaged in negotiations that culminated in a signed, one-page "Final Proposal" concerning a proposed ground lease with put and call options.  Prior to the Final Proposal, the letters of intent exchanged between the parties had detailed language stating that they were not binding.  By contrast, the Final Proposal stated that Federal Realty was to "prepare a legal agreement for First National's review to finalize the agreement."  (</w:t>
      </w:r>
      <w:r w:rsidRPr="001C1E23">
        <w:t>631 F.3d at 1063</w:t>
      </w:r>
      <w:r>
        <w:t xml:space="preserve">.)  The Final Proposal further stated that "the above terms are hereby accepted by the parties </w:t>
      </w:r>
      <w:r w:rsidRPr="009A5BCF">
        <w:rPr>
          <w:b/>
        </w:rPr>
        <w:t>subject only to</w:t>
      </w:r>
      <w:r>
        <w:t xml:space="preserve"> approval of the terms and conditions of a formal agreement."  (</w:t>
      </w:r>
      <w:r w:rsidRPr="00B81883">
        <w:rPr>
          <w:i/>
          <w:iCs/>
        </w:rPr>
        <w:t>Id</w:t>
      </w:r>
      <w:r>
        <w:rPr>
          <w:i/>
        </w:rPr>
        <w:t xml:space="preserve">. </w:t>
      </w:r>
      <w:r>
        <w:t>at 2063.  Emphasis added.)  The parties never signed a formal agreement.</w:t>
      </w:r>
    </w:p>
    <w:p w:rsidR="008F5BA3" w:rsidRDefault="008F5BA3" w:rsidP="000B4E33">
      <w:pPr>
        <w:pStyle w:val="Body"/>
      </w:pPr>
      <w:r>
        <w:t xml:space="preserve">After Federal Realty took the position that the Final Proposal was not a binding agreement, First National sued for damages for breach.  The Court of Appeals affirmed the jury verdict for First National, holding that the jury could find that the parties intended the Final Proposal to be binding.  The phrase that "the above terms are hereby accepted by the parties </w:t>
      </w:r>
      <w:r w:rsidRPr="009A5BCF">
        <w:rPr>
          <w:b/>
        </w:rPr>
        <w:t>subject only to</w:t>
      </w:r>
      <w:r>
        <w:t xml:space="preserve"> approval of the terms and conditions of a formal agreement" was "reasonably susceptible" to different interpretations as to whether or not it rendered the Final Proposal non-binding.  The court noted that the Final Proposal lacked Federal Realty's standard non-binding clause that had been included in earlier drafts" and used the word "Final" as compared to "Counter Proposal" and "Revised Proposal" in earlier drafts.  (</w:t>
      </w:r>
      <w:r w:rsidRPr="00B81883">
        <w:rPr>
          <w:i/>
          <w:iCs/>
        </w:rPr>
        <w:t>Id</w:t>
      </w:r>
      <w:r>
        <w:rPr>
          <w:i/>
        </w:rPr>
        <w:t xml:space="preserve">. </w:t>
      </w:r>
      <w:r>
        <w:t>at 1065-1066.)  The Court considered extrinsic evidence of statements and actions of the parties as supporting the jury's verdict that the Final Proposal was intended to be binding.</w:t>
      </w:r>
    </w:p>
    <w:p w:rsidR="008F5BA3" w:rsidRPr="003D6F12" w:rsidRDefault="008F5BA3" w:rsidP="000B4E33">
      <w:pPr>
        <w:pStyle w:val="Heading2"/>
        <w:ind w:hanging="630"/>
      </w:pPr>
      <w:r w:rsidRPr="003D6F12">
        <w:t>Practice Pointer</w:t>
      </w:r>
    </w:p>
    <w:p w:rsidR="008F5BA3" w:rsidRDefault="008F5BA3" w:rsidP="000B4E33">
      <w:pPr>
        <w:pStyle w:val="Body"/>
        <w:tabs>
          <w:tab w:val="left" w:pos="1080"/>
          <w:tab w:val="left" w:pos="2880"/>
        </w:tabs>
        <w:ind w:left="90" w:firstLine="630"/>
      </w:pPr>
      <w:r>
        <w:t>Make your intentions clear if you want a letter of intent to be non-binding in whole or in part.</w:t>
      </w:r>
    </w:p>
    <w:p w:rsidR="008F5BA3" w:rsidRDefault="008F5BA3" w:rsidP="000B4E33">
      <w:pPr>
        <w:pStyle w:val="Quote"/>
      </w:pPr>
      <w:r>
        <w:rPr>
          <w:i/>
        </w:rPr>
        <w:t>This proposal is not intended to constitute a binding agreement or contract, but rather to state the preliminary intentions of the parties with respect to negotiating a definitive written agreement between the parties.  It is understood and agreed that this proposal does not contain all the essential terms that the parties expect will be part of such an agreement and neither party shall have any obligation or liability to the other unless and until the parties enter into such a written agreement containing all essential terms and conditions.</w:t>
      </w:r>
    </w:p>
    <w:p w:rsidR="008F5BA3" w:rsidRPr="003D6F12" w:rsidRDefault="008F5BA3" w:rsidP="000B4E33">
      <w:pPr>
        <w:pStyle w:val="Heading2"/>
      </w:pPr>
      <w:r w:rsidRPr="003D6F12">
        <w:t>Related cases</w:t>
      </w:r>
    </w:p>
    <w:p w:rsidR="008F5BA3" w:rsidRDefault="008F5BA3" w:rsidP="000B4E33">
      <w:pPr>
        <w:pStyle w:val="BodyNumbered"/>
        <w:numPr>
          <w:ilvl w:val="0"/>
          <w:numId w:val="34"/>
        </w:numPr>
        <w:ind w:left="0"/>
      </w:pPr>
      <w:r>
        <w:t>Some courts have held that "subject to" language makes a letter of intent non-binding as a matter of law.  (</w:t>
      </w:r>
      <w:r>
        <w:rPr>
          <w:i/>
          <w:iCs/>
        </w:rPr>
        <w:t xml:space="preserve">A/S Apothekernes Laboratorium for Specialpraeparatur v. I.M.C. Chem. Group, Inc., </w:t>
      </w:r>
      <w:r>
        <w:t>873 F.2d 155, 156 (7</w:t>
      </w:r>
      <w:r>
        <w:rPr>
          <w:vertAlign w:val="superscript"/>
        </w:rPr>
        <w:t>th</w:t>
      </w:r>
      <w:r>
        <w:t xml:space="preserve"> Cir. 1989) ("[a]ll of the above is subject to our concluding an Agreement of Sale which shall be acceptable to the Boards of Directors of our respective corporations. . .."); </w:t>
      </w:r>
      <w:r>
        <w:rPr>
          <w:i/>
          <w:iCs/>
        </w:rPr>
        <w:t xml:space="preserve">Smissaert v. Chiodo, </w:t>
      </w:r>
      <w:r>
        <w:t>163 Cal. App. 2d 827, 830 (1958) ("It is further mutually understood and agreed by and between the parties to this agreement that the validity of said proposed agreement is subject and conditioned upon</w:t>
      </w:r>
      <w:r>
        <w:rPr>
          <w:b/>
          <w:bCs/>
        </w:rPr>
        <w:t xml:space="preserve"> </w:t>
      </w:r>
      <w:r>
        <w:t xml:space="preserve">the parties agreeing upon and reducing to writing all terms and conditions necessary and incidental to the validity of said agreement. . . .); </w:t>
      </w:r>
      <w:r>
        <w:rPr>
          <w:i/>
          <w:iCs/>
        </w:rPr>
        <w:t>Store Properties, Inc. v. Neal</w:t>
      </w:r>
      <w:r>
        <w:t xml:space="preserve">, 72 Cal. App. 2d 112, 113-14 (1945) (proposal expressly contemplated the subsequent preparation of a mutually acceptable lease "subject to the approval of both parties"); </w:t>
      </w:r>
      <w:r>
        <w:rPr>
          <w:i/>
          <w:iCs/>
        </w:rPr>
        <w:t>Golding v. Floyd</w:t>
      </w:r>
      <w:r>
        <w:t>, 261 Va. 190, 194-95, 539 S.E.2d 735, 738 (2001) (court held that a signed, written "Settlement Agreement Memorandum" expressly "subject to execution of a formal agreement" was not ambiguous, parol evidence was not admissible, execution of a formal agreement was a condition precedent to the existence of a binding contract, and the settlement agreement memorandum was not a legally binding contract as a matter of law).)</w:t>
      </w:r>
    </w:p>
    <w:p w:rsidR="008F5BA3" w:rsidRDefault="008F5BA3" w:rsidP="000B4E33">
      <w:pPr>
        <w:pStyle w:val="BodyNumbered"/>
        <w:numPr>
          <w:ilvl w:val="0"/>
          <w:numId w:val="34"/>
        </w:numPr>
        <w:ind w:left="0"/>
      </w:pPr>
      <w:r>
        <w:t>A related issue involves an LOI that requires approval of an attorney or other third party, which generally renders the LOI unenforceable.  (</w:t>
      </w:r>
      <w:r w:rsidRPr="00AA39DC">
        <w:rPr>
          <w:i/>
          <w:iCs/>
        </w:rPr>
        <w:t>Roth</w:t>
      </w:r>
      <w:r>
        <w:rPr>
          <w:i/>
          <w:iCs/>
        </w:rPr>
        <w:t xml:space="preserve"> v. </w:t>
      </w:r>
      <w:r w:rsidRPr="00AA39DC">
        <w:rPr>
          <w:i/>
          <w:iCs/>
        </w:rPr>
        <w:t xml:space="preserve">Garcia Marquez, </w:t>
      </w:r>
      <w:r>
        <w:t>942 F.2d 617, 626 (9</w:t>
      </w:r>
      <w:r w:rsidRPr="00AA39DC">
        <w:rPr>
          <w:vertAlign w:val="superscript"/>
        </w:rPr>
        <w:t>th</w:t>
      </w:r>
      <w:r>
        <w:t xml:space="preserve"> Cir. 1991) (Ninth Circuit affirmed the dismissal of a complaint, based on an alleged contract that required the approval of a third party whose approval had not been obtained.  "When . . . two parties execute a contract with the understanding that the approval of a third party is necessary for the agreement to take effect, the contract is not complete until the third party has approved.  Until that happens neither party is bound by the agreement."); </w:t>
      </w:r>
      <w:r w:rsidRPr="00AA39DC">
        <w:rPr>
          <w:i/>
          <w:iCs/>
        </w:rPr>
        <w:t>Nelson</w:t>
      </w:r>
      <w:r>
        <w:rPr>
          <w:i/>
          <w:iCs/>
        </w:rPr>
        <w:t xml:space="preserve"> v. </w:t>
      </w:r>
      <w:r w:rsidRPr="00AA39DC">
        <w:rPr>
          <w:i/>
          <w:iCs/>
        </w:rPr>
        <w:t xml:space="preserve">Ring, </w:t>
      </w:r>
      <w:r>
        <w:t xml:space="preserve">136 A.D. 878, 879, 524 N.Y.S.2d 544, 546 (1988) (the court, reversing denial of summary judgment, held, "Uniformly, attorney approval clauses have been considered an essential part of real property contracts whose terms must be satisfied along with other essential terms of the contract in order for it to be enforceable.  [citation omitted]"); </w:t>
      </w:r>
      <w:r w:rsidRPr="00AA39DC">
        <w:rPr>
          <w:i/>
          <w:iCs/>
        </w:rPr>
        <w:t>Los Angeles Rams Football Club</w:t>
      </w:r>
      <w:r>
        <w:rPr>
          <w:i/>
          <w:iCs/>
        </w:rPr>
        <w:t xml:space="preserve"> v. </w:t>
      </w:r>
      <w:r w:rsidRPr="00AA39DC">
        <w:rPr>
          <w:i/>
          <w:iCs/>
        </w:rPr>
        <w:t xml:space="preserve">Cannon, </w:t>
      </w:r>
      <w:r>
        <w:t>185 F. Supp. 717 (S.D. Cal. 1960) (a purported contract was not a contract, due to language in the purported contract stating "This agreement shall become valid and binding upon each party hereto only when, as and if it shall be approved by the Commissioner," because the Commissioner did not approve the contract.).</w:t>
      </w:r>
    </w:p>
    <w:p w:rsidR="008F5BA3" w:rsidRDefault="008F5BA3" w:rsidP="000B4E33">
      <w:pPr>
        <w:pStyle w:val="BodyNumbered"/>
        <w:numPr>
          <w:ilvl w:val="0"/>
          <w:numId w:val="34"/>
        </w:numPr>
        <w:ind w:left="0"/>
      </w:pPr>
      <w:r>
        <w:t>LOI may state that it is binding in some respects (e.g., exclusive negotiation, confidentiality), perhaps for a specific period of time, and otherwise non-binding.</w:t>
      </w:r>
    </w:p>
    <w:p w:rsidR="008F5BA3" w:rsidRPr="006B54EB" w:rsidRDefault="008F5BA3" w:rsidP="000B4E33">
      <w:pPr>
        <w:pStyle w:val="Quote"/>
        <w:rPr>
          <w:i/>
          <w:kern w:val="36"/>
        </w:rPr>
      </w:pPr>
      <w:r w:rsidRPr="006B54EB">
        <w:rPr>
          <w:i/>
          <w:kern w:val="36"/>
        </w:rPr>
        <w:t xml:space="preserve">This letter is intended </w:t>
      </w:r>
      <w:r w:rsidRPr="006B54EB">
        <w:rPr>
          <w:i/>
        </w:rPr>
        <w:t>only</w:t>
      </w:r>
      <w:r w:rsidRPr="006B54EB">
        <w:rPr>
          <w:i/>
          <w:kern w:val="36"/>
        </w:rPr>
        <w:t xml:space="preserve"> as a preliminary </w:t>
      </w:r>
      <w:r>
        <w:rPr>
          <w:i/>
          <w:kern w:val="36"/>
        </w:rPr>
        <w:t xml:space="preserve">outline for discussion purposes.  </w:t>
      </w:r>
      <w:r w:rsidRPr="006B54EB">
        <w:rPr>
          <w:i/>
          <w:kern w:val="36"/>
        </w:rPr>
        <w:t>The proposed transaction is subject to review and approval by senior management of Prospective Seller and Prospective Buyer, and their respective legal counsel, and to negotiation and execution of legal documents (including but not limited to a Purchase and Sale Agreement) by both parties.</w:t>
      </w:r>
      <w:r>
        <w:rPr>
          <w:i/>
          <w:kern w:val="36"/>
        </w:rPr>
        <w:t xml:space="preserve">  </w:t>
      </w:r>
      <w:r w:rsidRPr="006B54EB">
        <w:rPr>
          <w:i/>
          <w:kern w:val="36"/>
        </w:rPr>
        <w:t xml:space="preserve">Except for the provisions of Paragraph 15 above entitled </w:t>
      </w:r>
      <w:r>
        <w:rPr>
          <w:i/>
          <w:kern w:val="36"/>
        </w:rPr>
        <w:t>"</w:t>
      </w:r>
      <w:r w:rsidRPr="006B54EB">
        <w:rPr>
          <w:i/>
          <w:kern w:val="36"/>
        </w:rPr>
        <w:t>Confidentiality</w:t>
      </w:r>
      <w:r>
        <w:rPr>
          <w:i/>
          <w:kern w:val="36"/>
        </w:rPr>
        <w:t>"</w:t>
      </w:r>
      <w:r w:rsidRPr="006B54EB">
        <w:rPr>
          <w:i/>
          <w:kern w:val="36"/>
        </w:rPr>
        <w:t>, neither Prospective Buyer nor Prospective Seller shall have any legal obligation in connection with this letter or any other letter or proposal Prospective Buyer has received or submitted and either Prospective Buyer or Prospective Seller may terminate further negotiations with or without cause.</w:t>
      </w:r>
      <w:r>
        <w:rPr>
          <w:i/>
          <w:kern w:val="36"/>
        </w:rPr>
        <w:t xml:space="preserve">  </w:t>
      </w:r>
      <w:r w:rsidRPr="006B54EB">
        <w:rPr>
          <w:i/>
          <w:kern w:val="36"/>
        </w:rPr>
        <w:t>Since this letter is not intended to create any binding obligations other than those in Paragraph 15, and the only binding obligations between the parties are contained in Paragraph 15 and in the separate Entry, Inspection and Confidentiality Agreement executed concurrently herewith, Prospective Buyer should not take any action or refrain from taking any action in reliance on this non-binding outline or any oral statements made in connection herewith.</w:t>
      </w:r>
    </w:p>
    <w:p w:rsidR="008F5BA3" w:rsidRDefault="008F5BA3" w:rsidP="000B4E33">
      <w:pPr>
        <w:pStyle w:val="BodyNumbered"/>
        <w:numPr>
          <w:ilvl w:val="0"/>
          <w:numId w:val="34"/>
        </w:numPr>
        <w:ind w:left="0"/>
      </w:pPr>
      <w:r>
        <w:t>Damages for breach of agreement to negotiate may be limited.  (</w:t>
      </w:r>
      <w:r w:rsidRPr="00AA39DC">
        <w:rPr>
          <w:i/>
        </w:rPr>
        <w:t>Copeland</w:t>
      </w:r>
      <w:r>
        <w:rPr>
          <w:i/>
        </w:rPr>
        <w:t xml:space="preserve"> v. </w:t>
      </w:r>
      <w:r w:rsidRPr="00AA39DC">
        <w:rPr>
          <w:i/>
        </w:rPr>
        <w:t>Baskin Robbins U.S.A.,</w:t>
      </w:r>
      <w:r>
        <w:t xml:space="preserve"> 96 Cal.App.4</w:t>
      </w:r>
      <w:r w:rsidRPr="00AA39DC">
        <w:rPr>
          <w:vertAlign w:val="superscript"/>
        </w:rPr>
        <w:t>th</w:t>
      </w:r>
      <w:r>
        <w:t xml:space="preserve"> 1251 (2002) (the appropriate remedy for breach of a contract to negotiate is not damages for lost profits, but rather reliance damages).)</w:t>
      </w:r>
    </w:p>
    <w:p w:rsidR="008F5BA3" w:rsidRPr="00172AA2" w:rsidRDefault="008F5BA3" w:rsidP="00FD2844">
      <w:pPr>
        <w:pStyle w:val="Heading1"/>
      </w:pPr>
      <w:bookmarkStart w:id="2" w:name="_Toc330293783"/>
      <w:r w:rsidRPr="00172AA2">
        <w:t>Court Liberally Interprets Listing Agreement to Keep Broker</w:t>
      </w:r>
      <w:r>
        <w:t>'</w:t>
      </w:r>
      <w:r w:rsidRPr="00172AA2">
        <w:t>s Chutzpah in Check</w:t>
      </w:r>
      <w:bookmarkEnd w:id="2"/>
    </w:p>
    <w:p w:rsidR="008F5BA3" w:rsidRDefault="008F5BA3" w:rsidP="00FD2844">
      <w:pPr>
        <w:pStyle w:val="Body"/>
      </w:pPr>
      <w:r w:rsidRPr="00172AA2">
        <w:rPr>
          <w:u w:val="single"/>
        </w:rPr>
        <w:t>Holding</w:t>
      </w:r>
      <w:r>
        <w:t xml:space="preserve">:  </w:t>
      </w:r>
      <w:r w:rsidRPr="00172AA2">
        <w:rPr>
          <w:b/>
        </w:rPr>
        <w:t>The fact that a broker produced a buyer reading, willing and able to purchase the property at the price stated in the listing agreement was not enough for a broker to have earned a commission when a closing for the property did not occur.</w:t>
      </w:r>
      <w:r>
        <w:t xml:space="preserve">  </w:t>
      </w:r>
      <w:r>
        <w:rPr>
          <w:i/>
        </w:rPr>
        <w:t>RealPro, Inc. </w:t>
      </w:r>
      <w:r w:rsidRPr="00172AA2">
        <w:rPr>
          <w:i/>
        </w:rPr>
        <w:t>v</w:t>
      </w:r>
      <w:r>
        <w:rPr>
          <w:i/>
        </w:rPr>
        <w:t>.</w:t>
      </w:r>
      <w:r w:rsidRPr="00172AA2">
        <w:rPr>
          <w:i/>
        </w:rPr>
        <w:t xml:space="preserve"> Smith Residual Co</w:t>
      </w:r>
      <w:r>
        <w:t>., 203 Cal.App.4th 1215, 138 Cal.Rptr.3d 255 (2012).</w:t>
      </w:r>
    </w:p>
    <w:p w:rsidR="008F5BA3" w:rsidRDefault="008F5BA3" w:rsidP="00FD2844">
      <w:pPr>
        <w:pStyle w:val="Body"/>
      </w:pPr>
      <w:r w:rsidRPr="00172AA2">
        <w:rPr>
          <w:u w:val="single"/>
        </w:rPr>
        <w:t>Discussion</w:t>
      </w:r>
      <w:r>
        <w:t xml:space="preserve">:  A property owner entered into a listing agreement with a broker for the potential sale of 46.8 acres of land in Riverside, California.  The stated price in the listing agreement was $17 million.  A broker, </w:t>
      </w:r>
      <w:r w:rsidRPr="00172AA2">
        <w:rPr>
          <w:i/>
        </w:rPr>
        <w:t>RealPro,</w:t>
      </w:r>
      <w:r>
        <w:t xml:space="preserve"> brought forth a buyer who made an all cash offer of $17 million.  The owner countered at $19.5 million.   The prospective buyer rejected the counter offer and the deal never closed.  </w:t>
      </w:r>
      <w:r w:rsidRPr="00172AA2">
        <w:rPr>
          <w:i/>
        </w:rPr>
        <w:t xml:space="preserve">RealPro </w:t>
      </w:r>
      <w:r>
        <w:t xml:space="preserve">filed suit for its commission alleging the language in the listing agreement (under which </w:t>
      </w:r>
      <w:r w:rsidRPr="00172AA2">
        <w:rPr>
          <w:i/>
        </w:rPr>
        <w:t xml:space="preserve">RealPro </w:t>
      </w:r>
      <w:r>
        <w:t xml:space="preserve">as a "Cooperating Broker" was a third party beneficiary with the right to "enforce the terms of (the) Agreement against Owner) stated Owner shall pay a commission if a "buyer is procured who is ready, willing and able to buy the Property at the price and on the terms stated herein."  </w:t>
      </w:r>
      <w:r w:rsidRPr="00172AA2">
        <w:rPr>
          <w:i/>
        </w:rPr>
        <w:t>RealPro</w:t>
      </w:r>
      <w:r>
        <w:t xml:space="preserve"> argued the fact the sale never occurred was not relevant to the earning of the commission.  The court disagreed finding the $17 million cash offer was not the only requirement for a commission payment.</w:t>
      </w:r>
    </w:p>
    <w:p w:rsidR="008F5BA3" w:rsidRDefault="008F5BA3" w:rsidP="00FD2844">
      <w:pPr>
        <w:pStyle w:val="Body"/>
      </w:pPr>
      <w:r>
        <w:t xml:space="preserve">Arguably, the court was forced to strain its reading of the listing agreement in order to avoid what appear to be very clearly inequitable claims which may arise.  For instance, if more than one qualifying offer is made, would the owner be liable for multiple commission payments?  Had the court ruled in favor of </w:t>
      </w:r>
      <w:r w:rsidRPr="00172AA2">
        <w:rPr>
          <w:i/>
        </w:rPr>
        <w:t>RealPro</w:t>
      </w:r>
      <w:r>
        <w:t xml:space="preserve"> then the answer would be "yes."  Additionally, the seller may not be able to accept higher subsequent offers without owing a commission to the broker who brought forth a concurrent, unacceptable offer.  Indeed, taken to the extreme, one could envision a scenario in much greener times where there could have been numerous "qualifying" offers.  In that event, the owner could possibly be liable for more in commission payments than the owner would receive in profits from the sale of the property!</w:t>
      </w:r>
    </w:p>
    <w:p w:rsidR="008F5BA3" w:rsidRDefault="008F5BA3" w:rsidP="00FD2844">
      <w:pPr>
        <w:pStyle w:val="Heading2"/>
      </w:pPr>
      <w:r>
        <w:t>Practice Pointers</w:t>
      </w:r>
    </w:p>
    <w:p w:rsidR="008F5BA3" w:rsidRDefault="008F5BA3" w:rsidP="00FD2844">
      <w:pPr>
        <w:pStyle w:val="Body"/>
      </w:pPr>
      <w:r>
        <w:t xml:space="preserve">In his interesting commentary, </w:t>
      </w:r>
      <w:r w:rsidRPr="00172AA2">
        <w:rPr>
          <w:i/>
        </w:rPr>
        <w:t>Does It Take a Matching Offer, a Signed Contract, or a Complete Closing Before a Cooperating Broker Earns Its Commission</w:t>
      </w:r>
      <w:r>
        <w:t>, Professor Roger Bernhardt notes the majority rule in the US is that a commission is earned when the broker procures a matching or better offer.  However, Professor Bernhardt notes,</w:t>
      </w:r>
    </w:p>
    <w:p w:rsidR="008F5BA3" w:rsidRDefault="008F5BA3" w:rsidP="00FD2844">
      <w:pPr>
        <w:pStyle w:val="Quote"/>
      </w:pPr>
      <w:r>
        <w:t>"it is only that—the majority rule. A dozen or so states have rejected it in favor of a minority doctrine (often called the Ellsworth Dobbs doctrine) that no commission is earned until a sale is actually concluded (or when the seller himself has breached the sales contract)."</w:t>
      </w:r>
    </w:p>
    <w:p w:rsidR="008F5BA3" w:rsidRDefault="008F5BA3" w:rsidP="00FD2844">
      <w:pPr>
        <w:pStyle w:val="Body"/>
      </w:pPr>
      <w:r>
        <w:t>Counsel for sellers and brokers need to be aware of this fact and draft language in their respective agreements accordingly.  Personally, I think the Ellsworth Dobbs doctrine is the equitable position.  While there may be instances where a broker may present a legitimate claim to a commission even if a sale does not occur (e.g. due to the wrongful acts of the seller) or for its out-of-pocket expenses if the property is pulled from the market prior to a sale, these events can be anticipated and language drafted to address them.  Due to the nature of my clients' business (i.e. repeat business with institutional clients), it is my form language to provide no commission will be earned unless a transaction occurs and if the transaction does not close for any reason, no commission will be earned.  However, it is not uncommon to insert language stating if the owner pulls the property from the market, the broker will be entitled to its out-of-pocket expenses (can qualify as pre-approved in writing; up to a maximum of $X, etc.) or to provide for a "break-up fee" to compensate the broker for her time and energy spent on the potential transaction.</w:t>
      </w:r>
    </w:p>
    <w:p w:rsidR="008F5BA3" w:rsidRDefault="008F5BA3" w:rsidP="00FD2844">
      <w:pPr>
        <w:pStyle w:val="Body"/>
      </w:pPr>
      <w:r>
        <w:t xml:space="preserve">The important point is for each party to understand the majority rule as well as each party's expectations and then draft accordingly.  As </w:t>
      </w:r>
      <w:r w:rsidRPr="00172AA2">
        <w:rPr>
          <w:i/>
        </w:rPr>
        <w:t xml:space="preserve">RealPro </w:t>
      </w:r>
      <w:r>
        <w:t xml:space="preserve">indicates, if a broker is expecting to follow the noted majority rule, counsel will need to draft language more clear than that found in the listing agreement in </w:t>
      </w:r>
      <w:r w:rsidRPr="00172AA2">
        <w:rPr>
          <w:i/>
        </w:rPr>
        <w:t>RealPro</w:t>
      </w:r>
      <w:r>
        <w:t xml:space="preserve"> (an AIR form agreement) and clearly state the only requirement to the earning of a commission is the procurement of a ready, willing, and able purchaser who offers to buy the property on the terms set by the seller in his listing agreement.  Sellers, on the other hand, will most certainly want to make clear a closing must occur before a commission will be earned or payable.</w:t>
      </w:r>
    </w:p>
    <w:p w:rsidR="008F5BA3" w:rsidRDefault="008F5BA3" w:rsidP="00FD2844">
      <w:pPr>
        <w:pStyle w:val="Body"/>
      </w:pPr>
      <w:r w:rsidRPr="00172AA2">
        <w:rPr>
          <w:u w:val="single"/>
        </w:rPr>
        <w:t xml:space="preserve">Recommended Commentary on </w:t>
      </w:r>
      <w:r w:rsidRPr="00172AA2">
        <w:rPr>
          <w:i/>
          <w:u w:val="single"/>
        </w:rPr>
        <w:t>RealPro</w:t>
      </w:r>
      <w:r>
        <w:rPr>
          <w:i/>
        </w:rPr>
        <w:t xml:space="preserve">:  </w:t>
      </w:r>
      <w:r w:rsidRPr="00172AA2">
        <w:rPr>
          <w:i/>
        </w:rPr>
        <w:t xml:space="preserve">Does It Take a Matching Offer, a Signed Contract, or a Complete Closing Before a Cooperating Broker Earns Its Commission, </w:t>
      </w:r>
      <w:r>
        <w:t>by Professor Roger Bernhardt</w:t>
      </w:r>
    </w:p>
    <w:p w:rsidR="008F5BA3" w:rsidRPr="00404F91" w:rsidRDefault="008F5BA3" w:rsidP="00FD2844">
      <w:pPr>
        <w:pStyle w:val="Heading1"/>
      </w:pPr>
      <w:bookmarkStart w:id="3" w:name="_Toc330293784"/>
      <w:r w:rsidRPr="00404F91">
        <w:t xml:space="preserve">No More </w:t>
      </w:r>
      <w:r>
        <w:t>"</w:t>
      </w:r>
      <w:r w:rsidRPr="00404F91">
        <w:t>Free Looks</w:t>
      </w:r>
      <w:r>
        <w:t>"</w:t>
      </w:r>
      <w:r w:rsidRPr="00404F91">
        <w:t xml:space="preserve"> for California Real Estate Buyers</w:t>
      </w:r>
      <w:bookmarkEnd w:id="3"/>
    </w:p>
    <w:p w:rsidR="008F5BA3" w:rsidRDefault="008F5BA3" w:rsidP="00FD2844">
      <w:pPr>
        <w:pStyle w:val="Body"/>
        <w:rPr>
          <w:b/>
        </w:rPr>
      </w:pPr>
      <w:r w:rsidRPr="00404F91">
        <w:rPr>
          <w:u w:val="single"/>
        </w:rPr>
        <w:t>Holding</w:t>
      </w:r>
      <w:r>
        <w:rPr>
          <w:b/>
        </w:rPr>
        <w:t xml:space="preserve">:  </w:t>
      </w:r>
      <w:r w:rsidRPr="00404F91">
        <w:rPr>
          <w:b/>
        </w:rPr>
        <w:t xml:space="preserve">A traditional real estate purchase agreement that gives the buyer near-unfettered and </w:t>
      </w:r>
      <w:r>
        <w:t>"</w:t>
      </w:r>
      <w:r w:rsidRPr="00404F91">
        <w:rPr>
          <w:b/>
        </w:rPr>
        <w:t>cost-free</w:t>
      </w:r>
      <w:r>
        <w:t>"</w:t>
      </w:r>
      <w:r w:rsidRPr="00404F91">
        <w:rPr>
          <w:b/>
        </w:rPr>
        <w:t xml:space="preserve"> right to cancel is in fact either an unenforceable </w:t>
      </w:r>
      <w:r>
        <w:t>"</w:t>
      </w:r>
      <w:r w:rsidRPr="00404F91">
        <w:rPr>
          <w:b/>
        </w:rPr>
        <w:t>illusory contract</w:t>
      </w:r>
      <w:r>
        <w:t>"</w:t>
      </w:r>
      <w:r w:rsidRPr="00404F91">
        <w:rPr>
          <w:b/>
        </w:rPr>
        <w:t xml:space="preserve"> or a mere </w:t>
      </w:r>
      <w:r>
        <w:t>"</w:t>
      </w:r>
      <w:r w:rsidRPr="00404F91">
        <w:rPr>
          <w:b/>
        </w:rPr>
        <w:t>option agreement</w:t>
      </w:r>
      <w:r>
        <w:t>"</w:t>
      </w:r>
      <w:r w:rsidRPr="00404F91">
        <w:rPr>
          <w:b/>
        </w:rPr>
        <w:t xml:space="preserve"> which is revocable by the seller</w:t>
      </w:r>
      <w:r>
        <w:rPr>
          <w:b/>
        </w:rPr>
        <w:t xml:space="preserve"> absent consideration</w:t>
      </w:r>
      <w:r w:rsidRPr="00404F91">
        <w:rPr>
          <w:b/>
        </w:rPr>
        <w:t>.</w:t>
      </w:r>
      <w:r w:rsidRPr="00587663">
        <w:t xml:space="preserve">  </w:t>
      </w:r>
      <w:r w:rsidRPr="00404F91">
        <w:rPr>
          <w:i/>
        </w:rPr>
        <w:t>Steiner</w:t>
      </w:r>
      <w:r>
        <w:rPr>
          <w:i/>
        </w:rPr>
        <w:t xml:space="preserve"> v. </w:t>
      </w:r>
      <w:r w:rsidRPr="00404F91">
        <w:rPr>
          <w:i/>
        </w:rPr>
        <w:t>Thexton,</w:t>
      </w:r>
      <w:r w:rsidRPr="00587663">
        <w:t xml:space="preserve"> 226 P.3d 359 (Cal. 2010).  However, where bargained-for part performance of an illusory contract has occurred, this may make up for the original illusory nature of the promise – even without a claim by the buyer sounding in the doctrine of promissory estoppel.  (</w:t>
      </w:r>
      <w:r w:rsidRPr="00B81883">
        <w:rPr>
          <w:i/>
          <w:iCs/>
        </w:rPr>
        <w:t>Id</w:t>
      </w:r>
      <w:r w:rsidRPr="00404F91">
        <w:rPr>
          <w:i/>
        </w:rPr>
        <w:t>.</w:t>
      </w:r>
      <w:r w:rsidRPr="00587663">
        <w:t>)</w:t>
      </w:r>
    </w:p>
    <w:p w:rsidR="008F5BA3" w:rsidRDefault="008F5BA3" w:rsidP="00FD2844">
      <w:pPr>
        <w:pStyle w:val="Body"/>
        <w:rPr>
          <w:b/>
        </w:rPr>
      </w:pPr>
      <w:r w:rsidRPr="00404F91">
        <w:rPr>
          <w:u w:val="single"/>
        </w:rPr>
        <w:t>Discussion</w:t>
      </w:r>
      <w:r>
        <w:rPr>
          <w:b/>
        </w:rPr>
        <w:t xml:space="preserve">:  </w:t>
      </w:r>
      <w:r w:rsidRPr="00587663">
        <w:t>In 2003, Martin Steiner (</w:t>
      </w:r>
      <w:r>
        <w:rPr>
          <w:b/>
        </w:rPr>
        <w:t>"</w:t>
      </w:r>
      <w:r w:rsidRPr="00587663">
        <w:t>Steiner</w:t>
      </w:r>
      <w:r>
        <w:rPr>
          <w:b/>
        </w:rPr>
        <w:t>"</w:t>
      </w:r>
      <w:r w:rsidRPr="00587663">
        <w:t>) offered to pay $500,000 to buy 10 acres of a 12.29 acre tract owned by Paul Thexton (</w:t>
      </w:r>
      <w:r>
        <w:rPr>
          <w:b/>
        </w:rPr>
        <w:t>"</w:t>
      </w:r>
      <w:r w:rsidRPr="00587663">
        <w:t>Thexton</w:t>
      </w:r>
      <w:r>
        <w:rPr>
          <w:b/>
        </w:rPr>
        <w:t>"</w:t>
      </w:r>
      <w:r w:rsidRPr="00587663">
        <w:t>).  (</w:t>
      </w:r>
      <w:r w:rsidRPr="00B81883">
        <w:rPr>
          <w:i/>
          <w:iCs/>
        </w:rPr>
        <w:t>Id</w:t>
      </w:r>
      <w:r w:rsidRPr="00404F91">
        <w:rPr>
          <w:i/>
        </w:rPr>
        <w:t>.</w:t>
      </w:r>
      <w:r w:rsidRPr="00587663">
        <w:t xml:space="preserve"> at 362.)  The agreement provided that Steiner had the </w:t>
      </w:r>
      <w:r>
        <w:rPr>
          <w:b/>
        </w:rPr>
        <w:t>"</w:t>
      </w:r>
      <w:r w:rsidRPr="00587663">
        <w:t>absolute and sole discretion</w:t>
      </w:r>
      <w:r>
        <w:rPr>
          <w:b/>
        </w:rPr>
        <w:t>"</w:t>
      </w:r>
      <w:r w:rsidRPr="00587663">
        <w:t xml:space="preserve"> to cancel the contract at any time up to three years.  (</w:t>
      </w:r>
      <w:r w:rsidRPr="00B81883">
        <w:rPr>
          <w:i/>
          <w:iCs/>
        </w:rPr>
        <w:t>Id</w:t>
      </w:r>
      <w:r w:rsidRPr="00404F91">
        <w:rPr>
          <w:i/>
        </w:rPr>
        <w:t>.</w:t>
      </w:r>
      <w:r w:rsidRPr="00587663">
        <w:t>)</w:t>
      </w:r>
    </w:p>
    <w:p w:rsidR="008F5BA3" w:rsidRDefault="008F5BA3" w:rsidP="00FD2844">
      <w:pPr>
        <w:pStyle w:val="Quote"/>
        <w:rPr>
          <w:b/>
        </w:rPr>
      </w:pPr>
      <w:r>
        <w:rPr>
          <w:b/>
        </w:rPr>
        <w:t>"</w:t>
      </w:r>
      <w:r w:rsidRPr="00587663">
        <w:t xml:space="preserve">It is the intent of Buyer that the time period from execution of this contract until the closing of escrow is the time that will be needed in order to be successful in developing this project.  It is expressly understood that Buyer may, </w:t>
      </w:r>
      <w:r w:rsidRPr="00404F91">
        <w:rPr>
          <w:b/>
          <w:i/>
        </w:rPr>
        <w:t>at its absolute and sole discretion</w:t>
      </w:r>
      <w:r w:rsidRPr="00587663">
        <w:t xml:space="preserve"> during this period, elect not to continue in this transaction and this purchase contract will become null and void.</w:t>
      </w:r>
      <w:r>
        <w:rPr>
          <w:b/>
        </w:rPr>
        <w:t>"</w:t>
      </w:r>
    </w:p>
    <w:p w:rsidR="008F5BA3" w:rsidRPr="00587663" w:rsidRDefault="008F5BA3" w:rsidP="00FD2844">
      <w:pPr>
        <w:pStyle w:val="FlushLeft"/>
      </w:pPr>
      <w:r w:rsidRPr="00587663">
        <w:t>(Emphasis added) (</w:t>
      </w:r>
      <w:r w:rsidRPr="00B81883">
        <w:rPr>
          <w:i/>
          <w:iCs/>
        </w:rPr>
        <w:t>Id</w:t>
      </w:r>
      <w:r w:rsidRPr="00404F91">
        <w:rPr>
          <w:i/>
        </w:rPr>
        <w:t xml:space="preserve">. </w:t>
      </w:r>
      <w:r w:rsidRPr="00587663">
        <w:t>at fn.2.)</w:t>
      </w:r>
    </w:p>
    <w:p w:rsidR="008F5BA3" w:rsidRDefault="008F5BA3" w:rsidP="00FD2844">
      <w:pPr>
        <w:pStyle w:val="Body"/>
        <w:rPr>
          <w:b/>
        </w:rPr>
      </w:pPr>
      <w:r w:rsidRPr="00587663">
        <w:t xml:space="preserve">Steiner paid $1,000 as an escrow deposit which, as in a typical </w:t>
      </w:r>
      <w:r>
        <w:rPr>
          <w:b/>
        </w:rPr>
        <w:t>"</w:t>
      </w:r>
      <w:r w:rsidRPr="00587663">
        <w:t>free look</w:t>
      </w:r>
      <w:r>
        <w:rPr>
          <w:b/>
        </w:rPr>
        <w:t>"</w:t>
      </w:r>
      <w:r w:rsidRPr="00587663">
        <w:t xml:space="preserve"> contract, would be </w:t>
      </w:r>
      <w:r w:rsidRPr="00404F91">
        <w:rPr>
          <w:b/>
        </w:rPr>
        <w:t>applied to the purchase price or be refunded to Steiner</w:t>
      </w:r>
      <w:r w:rsidRPr="00587663">
        <w:t xml:space="preserve"> if he decided to cancel the agreement.  (</w:t>
      </w:r>
      <w:r w:rsidRPr="00B81883">
        <w:rPr>
          <w:i/>
          <w:iCs/>
        </w:rPr>
        <w:t>Id</w:t>
      </w:r>
      <w:r w:rsidRPr="00404F91">
        <w:rPr>
          <w:i/>
        </w:rPr>
        <w:t>.</w:t>
      </w:r>
      <w:r w:rsidRPr="00587663">
        <w:t>)  The agreement also stated that Steiner was responsible, at his own expense, for securing the necessary government permits for parceling and developing the land.  (</w:t>
      </w:r>
      <w:r w:rsidRPr="00B81883">
        <w:rPr>
          <w:i/>
          <w:iCs/>
        </w:rPr>
        <w:t>Id</w:t>
      </w:r>
      <w:r w:rsidRPr="00404F91">
        <w:rPr>
          <w:i/>
        </w:rPr>
        <w:t>.</w:t>
      </w:r>
      <w:r w:rsidRPr="00587663">
        <w:t xml:space="preserve">)  Evidence, which turned out later to be important, showed that Thexton had insisted on this provision and that </w:t>
      </w:r>
      <w:r w:rsidRPr="00404F91">
        <w:rPr>
          <w:b/>
        </w:rPr>
        <w:t>he had previously refused a higher price</w:t>
      </w:r>
      <w:r w:rsidRPr="00587663">
        <w:t xml:space="preserve"> for a contract that required </w:t>
      </w:r>
      <w:r w:rsidRPr="00404F91">
        <w:rPr>
          <w:b/>
        </w:rPr>
        <w:t>him</w:t>
      </w:r>
      <w:r w:rsidRPr="00587663">
        <w:t xml:space="preserve"> to get the land parceled.  (</w:t>
      </w:r>
      <w:r w:rsidRPr="00B81883">
        <w:rPr>
          <w:i/>
          <w:iCs/>
        </w:rPr>
        <w:t>Id</w:t>
      </w:r>
      <w:r w:rsidRPr="00404F91">
        <w:rPr>
          <w:i/>
        </w:rPr>
        <w:t>.</w:t>
      </w:r>
      <w:r w:rsidRPr="00587663">
        <w:t>)  During the next year, Steiner with Thexton</w:t>
      </w:r>
      <w:r>
        <w:rPr>
          <w:b/>
        </w:rPr>
        <w:t>'</w:t>
      </w:r>
      <w:r w:rsidRPr="00587663">
        <w:t xml:space="preserve">s cooperation pursued the government permits, spending thousands of dollars in the process.  </w:t>
      </w:r>
      <w:r w:rsidRPr="00404F91">
        <w:rPr>
          <w:i/>
        </w:rPr>
        <w:t>(</w:t>
      </w:r>
      <w:r w:rsidRPr="00B81883">
        <w:rPr>
          <w:i/>
          <w:iCs/>
        </w:rPr>
        <w:t>Id</w:t>
      </w:r>
      <w:r w:rsidRPr="00404F91">
        <w:rPr>
          <w:i/>
        </w:rPr>
        <w:t>.</w:t>
      </w:r>
      <w:r w:rsidRPr="00587663">
        <w:t xml:space="preserve"> at 363)  Then, only 12 months into the 36-month-year agreement, Thexton told Steiner that he had changed his mind about selling and directed the escrow agent to cancel the escrow.  (</w:t>
      </w:r>
      <w:r w:rsidRPr="00B81883">
        <w:rPr>
          <w:i/>
          <w:iCs/>
        </w:rPr>
        <w:t>Id</w:t>
      </w:r>
      <w:r w:rsidRPr="00404F91">
        <w:rPr>
          <w:i/>
        </w:rPr>
        <w:t>.</w:t>
      </w:r>
      <w:r w:rsidRPr="00587663">
        <w:t>)  Shortly thereafter, Steiner received the final approval for parceling the land and then he sued for specific performance, to force Thexton to sell him the 10 acre tract.  (</w:t>
      </w:r>
      <w:r w:rsidRPr="00B81883">
        <w:rPr>
          <w:i/>
          <w:iCs/>
        </w:rPr>
        <w:t>Id</w:t>
      </w:r>
      <w:r w:rsidRPr="00404F91">
        <w:rPr>
          <w:i/>
        </w:rPr>
        <w:t>.</w:t>
      </w:r>
      <w:r w:rsidRPr="00587663">
        <w:t>)</w:t>
      </w:r>
    </w:p>
    <w:p w:rsidR="008F5BA3" w:rsidRPr="00587663" w:rsidRDefault="008F5BA3" w:rsidP="00FD2844">
      <w:pPr>
        <w:pStyle w:val="Body"/>
      </w:pPr>
      <w:r w:rsidRPr="00587663">
        <w:t xml:space="preserve">The trial court in a bench trial ruled against Steiner, holding that the agreement </w:t>
      </w:r>
      <w:r>
        <w:rPr>
          <w:b/>
        </w:rPr>
        <w:t>"</w:t>
      </w:r>
      <w:r w:rsidRPr="00587663">
        <w:t>is, in effect, an option that is not supported by any consideration</w:t>
      </w:r>
      <w:r>
        <w:rPr>
          <w:b/>
        </w:rPr>
        <w:t>"</w:t>
      </w:r>
      <w:r w:rsidRPr="00587663">
        <w:t>.  (</w:t>
      </w:r>
      <w:r w:rsidRPr="00B81883">
        <w:rPr>
          <w:i/>
          <w:iCs/>
        </w:rPr>
        <w:t>Id</w:t>
      </w:r>
      <w:r w:rsidRPr="00404F91">
        <w:rPr>
          <w:i/>
        </w:rPr>
        <w:t>.</w:t>
      </w:r>
      <w:r w:rsidRPr="00587663">
        <w:t xml:space="preserve">)  The trial court based its ruling on </w:t>
      </w:r>
      <w:r w:rsidRPr="00404F91">
        <w:rPr>
          <w:b/>
        </w:rPr>
        <w:t>two key findings</w:t>
      </w:r>
      <w:r>
        <w:rPr>
          <w:b/>
        </w:rPr>
        <w:t xml:space="preserve">:  </w:t>
      </w:r>
      <w:r w:rsidRPr="00587663">
        <w:t xml:space="preserve">(1) That the contract language giving Steiner the </w:t>
      </w:r>
      <w:r>
        <w:rPr>
          <w:b/>
        </w:rPr>
        <w:t>"</w:t>
      </w:r>
      <w:r w:rsidRPr="00587663">
        <w:t>absolute and unfettered discretion</w:t>
      </w:r>
      <w:r>
        <w:rPr>
          <w:b/>
        </w:rPr>
        <w:t>"</w:t>
      </w:r>
      <w:r w:rsidRPr="00587663">
        <w:t xml:space="preserve"> to cancel </w:t>
      </w:r>
      <w:r>
        <w:rPr>
          <w:b/>
        </w:rPr>
        <w:t>"</w:t>
      </w:r>
      <w:r w:rsidRPr="00587663">
        <w:t xml:space="preserve">is the classic feature </w:t>
      </w:r>
      <w:r w:rsidRPr="00404F91">
        <w:rPr>
          <w:b/>
        </w:rPr>
        <w:t>of an option</w:t>
      </w:r>
      <w:r>
        <w:rPr>
          <w:b/>
        </w:rPr>
        <w:t>"</w:t>
      </w:r>
      <w:r w:rsidRPr="00587663">
        <w:t xml:space="preserve">, and (2) that because Thexton received no money or benefit from it, </w:t>
      </w:r>
      <w:r w:rsidRPr="00404F91">
        <w:rPr>
          <w:b/>
        </w:rPr>
        <w:t>no consideration</w:t>
      </w:r>
      <w:r w:rsidRPr="00587663">
        <w:t xml:space="preserve"> supported the contract at the time it was made and, thus, Thexton could revoke the option at will.  (</w:t>
      </w:r>
      <w:r w:rsidRPr="00B81883">
        <w:rPr>
          <w:i/>
          <w:iCs/>
        </w:rPr>
        <w:t>Id</w:t>
      </w:r>
      <w:r w:rsidRPr="00404F91">
        <w:rPr>
          <w:i/>
        </w:rPr>
        <w:t>.</w:t>
      </w:r>
      <w:r w:rsidRPr="00587663">
        <w:t>)  The trial court also rejected Steiner</w:t>
      </w:r>
      <w:r>
        <w:rPr>
          <w:b/>
        </w:rPr>
        <w:t>'</w:t>
      </w:r>
      <w:r w:rsidRPr="00587663">
        <w:t>s claim sounding in promissory estoppel.  (</w:t>
      </w:r>
      <w:r w:rsidRPr="00B81883">
        <w:rPr>
          <w:i/>
          <w:iCs/>
        </w:rPr>
        <w:t>Id</w:t>
      </w:r>
      <w:r w:rsidRPr="00404F91">
        <w:rPr>
          <w:i/>
        </w:rPr>
        <w:t>.</w:t>
      </w:r>
      <w:r w:rsidRPr="00587663">
        <w:t>)  (Though not mentioned by the Supreme Court, the reason reported in the intermediate appeals court</w:t>
      </w:r>
      <w:r>
        <w:rPr>
          <w:b/>
        </w:rPr>
        <w:t>'</w:t>
      </w:r>
      <w:r w:rsidRPr="00587663">
        <w:t>s opinion for Steiner</w:t>
      </w:r>
      <w:r>
        <w:rPr>
          <w:b/>
        </w:rPr>
        <w:t>'</w:t>
      </w:r>
      <w:r w:rsidRPr="00587663">
        <w:t xml:space="preserve">s failed claim of promissory estoppel was because Steiner had failed to raise that issue in his pleadings before trial.  </w:t>
      </w:r>
      <w:r w:rsidRPr="00404F91">
        <w:rPr>
          <w:i/>
        </w:rPr>
        <w:t>Steiner</w:t>
      </w:r>
      <w:r>
        <w:rPr>
          <w:i/>
        </w:rPr>
        <w:t xml:space="preserve"> v. </w:t>
      </w:r>
      <w:r w:rsidRPr="00404F91">
        <w:rPr>
          <w:i/>
        </w:rPr>
        <w:t>Thexton</w:t>
      </w:r>
      <w:r w:rsidRPr="00587663">
        <w:t>, 163 Cal. App. 4th 359 (Cal. App. 3d Dist., 2008.))   The court of appeals upheld the trial court</w:t>
      </w:r>
      <w:r>
        <w:rPr>
          <w:b/>
        </w:rPr>
        <w:t>'</w:t>
      </w:r>
      <w:r w:rsidRPr="00587663">
        <w:t>s decision in every respect.  (226 P.3d at 363</w:t>
      </w:r>
      <w:r w:rsidRPr="00404F91">
        <w:rPr>
          <w:i/>
        </w:rPr>
        <w:t>.</w:t>
      </w:r>
      <w:r w:rsidRPr="00587663">
        <w:t>)</w:t>
      </w:r>
    </w:p>
    <w:p w:rsidR="008F5BA3" w:rsidRPr="00E14E90" w:rsidRDefault="008F5BA3" w:rsidP="00FD2844">
      <w:pPr>
        <w:pStyle w:val="Body"/>
      </w:pPr>
      <w:r w:rsidRPr="00587663">
        <w:t>The California Supreme Court agreed with the lower courts that the Steiner-Thexton contract was an option, not a bilateral contract.  (</w:t>
      </w:r>
      <w:r w:rsidRPr="00B81883">
        <w:rPr>
          <w:i/>
          <w:iCs/>
        </w:rPr>
        <w:t>Id</w:t>
      </w:r>
      <w:r w:rsidRPr="00404F91">
        <w:rPr>
          <w:i/>
        </w:rPr>
        <w:t>.</w:t>
      </w:r>
      <w:r w:rsidRPr="00587663">
        <w:t xml:space="preserve"> at 364-65.)  However, the high court disagreed that the option was voidable by Thexton for want of consideration.  (</w:t>
      </w:r>
      <w:r w:rsidRPr="00B81883">
        <w:rPr>
          <w:i/>
          <w:iCs/>
        </w:rPr>
        <w:t>Id</w:t>
      </w:r>
      <w:r w:rsidRPr="00404F91">
        <w:rPr>
          <w:i/>
        </w:rPr>
        <w:t>.</w:t>
      </w:r>
      <w:r w:rsidRPr="00587663">
        <w:t xml:space="preserve"> at 366.)   The court held that the contract, though the initial lack of consideration made it </w:t>
      </w:r>
      <w:r>
        <w:rPr>
          <w:b/>
        </w:rPr>
        <w:t>"</w:t>
      </w:r>
      <w:r w:rsidRPr="00587663">
        <w:t>illusory</w:t>
      </w:r>
      <w:r>
        <w:rPr>
          <w:b/>
        </w:rPr>
        <w:t>"</w:t>
      </w:r>
      <w:r w:rsidRPr="00587663">
        <w:t xml:space="preserve"> when signed, became binding on Thexton by the part-performance of Steiner in having the land parceled</w:t>
      </w:r>
      <w:r w:rsidRPr="00E14E90">
        <w:t>:</w:t>
      </w:r>
    </w:p>
    <w:p w:rsidR="008F5BA3" w:rsidRPr="00587663" w:rsidRDefault="008F5BA3" w:rsidP="00FD2844">
      <w:pPr>
        <w:pStyle w:val="Quote"/>
      </w:pPr>
      <w:r>
        <w:rPr>
          <w:b/>
        </w:rPr>
        <w:t>"</w:t>
      </w:r>
      <w:r>
        <w:t>. . .</w:t>
      </w:r>
      <w:r w:rsidRPr="00587663">
        <w:t>Steiner both conferred a bargained-for benefit on Thexton and suffered a bargained-for prejudice unaffected by his power to cancel, thereby making up for the initially illusory nature of his promise.</w:t>
      </w:r>
      <w:r>
        <w:rPr>
          <w:b/>
        </w:rPr>
        <w:t>"</w:t>
      </w:r>
      <w:r w:rsidRPr="00587663">
        <w:t xml:space="preserve">  (</w:t>
      </w:r>
      <w:r w:rsidRPr="00B81883">
        <w:rPr>
          <w:i/>
        </w:rPr>
        <w:t>Id</w:t>
      </w:r>
      <w:r w:rsidRPr="00404F91">
        <w:rPr>
          <w:i/>
        </w:rPr>
        <w:t>.</w:t>
      </w:r>
      <w:r w:rsidRPr="00587663">
        <w:t xml:space="preserve"> at 367)</w:t>
      </w:r>
    </w:p>
    <w:p w:rsidR="008F5BA3" w:rsidRDefault="008F5BA3" w:rsidP="00FD2844">
      <w:pPr>
        <w:pStyle w:val="Body"/>
        <w:rPr>
          <w:b/>
        </w:rPr>
      </w:pPr>
      <w:r w:rsidRPr="00587663">
        <w:t xml:space="preserve">The high court said the lower courts erred in relying on cases that addressed the </w:t>
      </w:r>
      <w:r w:rsidRPr="00404F91">
        <w:rPr>
          <w:b/>
        </w:rPr>
        <w:t>adequacy</w:t>
      </w:r>
      <w:r w:rsidRPr="00587663">
        <w:t xml:space="preserve"> of consideration at the time of the contracts</w:t>
      </w:r>
      <w:r>
        <w:rPr>
          <w:b/>
        </w:rPr>
        <w:t>'</w:t>
      </w:r>
      <w:r w:rsidRPr="00587663">
        <w:t xml:space="preserve"> executions, rather than the </w:t>
      </w:r>
      <w:r w:rsidRPr="00404F91">
        <w:rPr>
          <w:b/>
        </w:rPr>
        <w:t>existence</w:t>
      </w:r>
      <w:r w:rsidRPr="00587663">
        <w:t xml:space="preserve"> of the consideration.  (</w:t>
      </w:r>
      <w:r w:rsidRPr="00B81883">
        <w:rPr>
          <w:i/>
          <w:iCs/>
        </w:rPr>
        <w:t>Id</w:t>
      </w:r>
      <w:r w:rsidRPr="00404F91">
        <w:rPr>
          <w:i/>
        </w:rPr>
        <w:t>.</w:t>
      </w:r>
      <w:r w:rsidRPr="00587663">
        <w:t xml:space="preserve"> at 368.)  The court concluded that Steiner</w:t>
      </w:r>
      <w:r>
        <w:rPr>
          <w:b/>
        </w:rPr>
        <w:t>'</w:t>
      </w:r>
      <w:r w:rsidRPr="00587663">
        <w:t>s part-performance of his bargained-for promise to split the parcel, a promise that Thexton had insisted upon, cured the illusory nature of the contract and rendered the option irrevocable.  (</w:t>
      </w:r>
      <w:r w:rsidRPr="00B81883">
        <w:rPr>
          <w:i/>
          <w:iCs/>
        </w:rPr>
        <w:t>Id</w:t>
      </w:r>
      <w:r w:rsidRPr="00404F91">
        <w:rPr>
          <w:i/>
        </w:rPr>
        <w:t>.</w:t>
      </w:r>
      <w:r w:rsidRPr="00587663">
        <w:t xml:space="preserve"> at 369.)</w:t>
      </w:r>
    </w:p>
    <w:p w:rsidR="008F5BA3" w:rsidRDefault="008F5BA3" w:rsidP="00FD2844">
      <w:pPr>
        <w:pStyle w:val="Heading2"/>
        <w:rPr>
          <w:b/>
        </w:rPr>
      </w:pPr>
      <w:r w:rsidRPr="00404F91">
        <w:t>Practice Pointers</w:t>
      </w:r>
    </w:p>
    <w:p w:rsidR="008F5BA3" w:rsidRPr="00587663" w:rsidRDefault="008F5BA3" w:rsidP="00FD2844">
      <w:pPr>
        <w:pStyle w:val="Body"/>
      </w:pPr>
      <w:r w:rsidRPr="00587663">
        <w:t xml:space="preserve">There are two possible responses to avoid the difficult issues raised in </w:t>
      </w:r>
      <w:r w:rsidRPr="00404F91">
        <w:rPr>
          <w:i/>
        </w:rPr>
        <w:t>Steiner</w:t>
      </w:r>
      <w:r w:rsidRPr="00587663">
        <w:t xml:space="preserve">.  First, you can </w:t>
      </w:r>
      <w:r w:rsidRPr="00404F91">
        <w:rPr>
          <w:b/>
        </w:rPr>
        <w:t>prevent</w:t>
      </w:r>
      <w:r w:rsidRPr="00587663">
        <w:t xml:space="preserve"> the agreement from being an option by </w:t>
      </w:r>
      <w:r w:rsidRPr="00404F91">
        <w:rPr>
          <w:b/>
        </w:rPr>
        <w:t>limiting the buyer</w:t>
      </w:r>
      <w:r>
        <w:t>'</w:t>
      </w:r>
      <w:r w:rsidRPr="00404F91">
        <w:rPr>
          <w:b/>
        </w:rPr>
        <w:t xml:space="preserve">s ability to </w:t>
      </w:r>
      <w:r>
        <w:t>"</w:t>
      </w:r>
      <w:r w:rsidRPr="00404F91">
        <w:rPr>
          <w:b/>
        </w:rPr>
        <w:t>walk away</w:t>
      </w:r>
      <w:r>
        <w:t>"</w:t>
      </w:r>
      <w:r w:rsidRPr="00587663">
        <w:t xml:space="preserve"> after his </w:t>
      </w:r>
      <w:r>
        <w:rPr>
          <w:b/>
        </w:rPr>
        <w:t>"</w:t>
      </w:r>
      <w:r w:rsidRPr="00587663">
        <w:t>free look</w:t>
      </w:r>
      <w:r>
        <w:rPr>
          <w:b/>
        </w:rPr>
        <w:t>"</w:t>
      </w:r>
      <w:r w:rsidRPr="00587663">
        <w:t xml:space="preserve">, for example, by tying his termination right to some objective criteria or at least to his </w:t>
      </w:r>
      <w:r>
        <w:rPr>
          <w:b/>
        </w:rPr>
        <w:t>"</w:t>
      </w:r>
      <w:r w:rsidRPr="00587663">
        <w:t>duty of good faith and fair dealing</w:t>
      </w:r>
      <w:r>
        <w:rPr>
          <w:b/>
        </w:rPr>
        <w:t>"</w:t>
      </w:r>
      <w:r w:rsidRPr="00587663">
        <w:t xml:space="preserve"> rather than leaving it up to his </w:t>
      </w:r>
      <w:r>
        <w:rPr>
          <w:b/>
        </w:rPr>
        <w:t>"</w:t>
      </w:r>
      <w:r w:rsidRPr="00587663">
        <w:t>absolute and sole discretion</w:t>
      </w:r>
      <w:r>
        <w:rPr>
          <w:b/>
        </w:rPr>
        <w:t>"</w:t>
      </w:r>
      <w:r w:rsidRPr="00587663">
        <w:t xml:space="preserve">.  Second, if you create an option agreement, then </w:t>
      </w:r>
      <w:r w:rsidRPr="00404F91">
        <w:rPr>
          <w:b/>
        </w:rPr>
        <w:t>make it irrevocable through inclusion of bargained-for consideration</w:t>
      </w:r>
      <w:r w:rsidRPr="00587663">
        <w:t xml:space="preserve"> (a non-refundable deposit will suffice), but keep in mind that this method then introduces the question of the adequacy of the consideration.  Finally, be sure to record the final agreement in the appropriate land records.</w:t>
      </w:r>
    </w:p>
    <w:p w:rsidR="008F5BA3" w:rsidRDefault="008F5BA3" w:rsidP="00FD2844">
      <w:pPr>
        <w:pStyle w:val="Heading2"/>
        <w:rPr>
          <w:u w:val="none"/>
        </w:rPr>
      </w:pPr>
      <w:r w:rsidRPr="00404F91">
        <w:t xml:space="preserve">Recommended Commentary on </w:t>
      </w:r>
      <w:r w:rsidRPr="00404F91">
        <w:rPr>
          <w:i/>
        </w:rPr>
        <w:t>Steiner</w:t>
      </w:r>
    </w:p>
    <w:p w:rsidR="008F5BA3" w:rsidRPr="00587663" w:rsidRDefault="008F5BA3" w:rsidP="00FD2844">
      <w:pPr>
        <w:pStyle w:val="FlushLeft"/>
      </w:pPr>
      <w:r w:rsidRPr="00404F91">
        <w:t>http://trainorfairbrook.com/articles/242-future-real-estate-contracts-will-be-affected-by-supreme-court-ruling</w:t>
      </w:r>
    </w:p>
    <w:p w:rsidR="008F5BA3" w:rsidRPr="00587663" w:rsidRDefault="008F5BA3" w:rsidP="00FD2844">
      <w:pPr>
        <w:pStyle w:val="FlushLeft"/>
      </w:pPr>
      <w:r w:rsidRPr="00404F91">
        <w:t>http://www.gibsondunn.com/publications/pages/CaliforniaSupremeCtRealPropertyAgreements.aspx</w:t>
      </w:r>
    </w:p>
    <w:p w:rsidR="008F5BA3" w:rsidRDefault="008F5BA3" w:rsidP="00FD2844">
      <w:pPr>
        <w:pStyle w:val="Heading2"/>
        <w:rPr>
          <w:u w:val="none"/>
        </w:rPr>
      </w:pPr>
      <w:r w:rsidRPr="00404F91">
        <w:t xml:space="preserve">Noteworthy cases citing </w:t>
      </w:r>
      <w:r w:rsidRPr="00404F91">
        <w:rPr>
          <w:i/>
        </w:rPr>
        <w:t>Steiner</w:t>
      </w:r>
    </w:p>
    <w:p w:rsidR="008F5BA3" w:rsidRDefault="008F5BA3" w:rsidP="00FD2844">
      <w:pPr>
        <w:pStyle w:val="Body"/>
        <w:rPr>
          <w:b/>
        </w:rPr>
      </w:pPr>
      <w:r w:rsidRPr="00404F91">
        <w:rPr>
          <w:i/>
        </w:rPr>
        <w:t>Banaga</w:t>
      </w:r>
      <w:r>
        <w:rPr>
          <w:i/>
        </w:rPr>
        <w:t xml:space="preserve"> v. </w:t>
      </w:r>
      <w:r w:rsidRPr="00404F91">
        <w:rPr>
          <w:i/>
        </w:rPr>
        <w:t>Taylor Bean Mortgage Co</w:t>
      </w:r>
      <w:r w:rsidRPr="00587663">
        <w:t xml:space="preserve">. (N.D. Cal. 2011) 2011 WL 5056985, and </w:t>
      </w:r>
      <w:r w:rsidRPr="00404F91">
        <w:rPr>
          <w:i/>
        </w:rPr>
        <w:t>Newton</w:t>
      </w:r>
      <w:r>
        <w:rPr>
          <w:i/>
        </w:rPr>
        <w:t xml:space="preserve"> v. </w:t>
      </w:r>
      <w:r w:rsidRPr="00404F91">
        <w:rPr>
          <w:i/>
        </w:rPr>
        <w:t>Superior Court</w:t>
      </w:r>
      <w:r w:rsidRPr="00587663">
        <w:t>, (Mar.</w:t>
      </w:r>
      <w:r>
        <w:t> </w:t>
      </w:r>
      <w:r w:rsidRPr="00587663">
        <w:t xml:space="preserve">1, 2012 E051405) [nonpub. opn.] (citing </w:t>
      </w:r>
      <w:r w:rsidRPr="00404F91">
        <w:rPr>
          <w:i/>
        </w:rPr>
        <w:t>Steiner</w:t>
      </w:r>
      <w:r w:rsidRPr="00587663">
        <w:t xml:space="preserve"> for the proposition that the mere benefit or prejudice to a party is insufficient to constitute, as a threshold matter, consideration unless the prejudice or benefit is bargained-for).</w:t>
      </w:r>
    </w:p>
    <w:p w:rsidR="008F5BA3" w:rsidRPr="003D6F12" w:rsidRDefault="008F5BA3" w:rsidP="000B4E33">
      <w:pPr>
        <w:pStyle w:val="Heading1"/>
        <w:rPr>
          <w:b w:val="0"/>
        </w:rPr>
      </w:pPr>
      <w:bookmarkStart w:id="4" w:name="_Toc330293785"/>
      <w:r w:rsidRPr="003D6F12">
        <w:t>Think Twice Before Terminating a Lease</w:t>
      </w:r>
      <w:bookmarkEnd w:id="4"/>
    </w:p>
    <w:p w:rsidR="008F5BA3" w:rsidRPr="000A59CF" w:rsidRDefault="008F5BA3" w:rsidP="000B4E33">
      <w:pPr>
        <w:pStyle w:val="Body"/>
      </w:pPr>
      <w:r w:rsidRPr="00323F38">
        <w:rPr>
          <w:u w:val="single"/>
        </w:rPr>
        <w:t>Holding</w:t>
      </w:r>
      <w:r>
        <w:t>:  Where b</w:t>
      </w:r>
      <w:r w:rsidRPr="000A59CF">
        <w:t>orrower</w:t>
      </w:r>
      <w:r>
        <w:t xml:space="preserve"> did not terminate lease, guarantor is not liable on "bad boy" guaranty.  (</w:t>
      </w:r>
      <w:r w:rsidRPr="00215C8E">
        <w:rPr>
          <w:i/>
        </w:rPr>
        <w:t>GECCMC 2005-C1 Plummer Street Office, LP</w:t>
      </w:r>
      <w:r>
        <w:rPr>
          <w:i/>
        </w:rPr>
        <w:t xml:space="preserve"> v. </w:t>
      </w:r>
      <w:r w:rsidRPr="00215C8E">
        <w:rPr>
          <w:i/>
        </w:rPr>
        <w:t>NRFC NNN Holdings, LLC</w:t>
      </w:r>
      <w:r>
        <w:rPr>
          <w:i/>
        </w:rPr>
        <w:t xml:space="preserve">, </w:t>
      </w:r>
      <w:r w:rsidRPr="00323F38">
        <w:t>204 Cal. App. 4th 998</w:t>
      </w:r>
      <w:r>
        <w:t xml:space="preserve"> (2012), </w:t>
      </w:r>
      <w:r>
        <w:rPr>
          <w:i/>
        </w:rPr>
        <w:t>petition for review denied 7</w:t>
      </w:r>
      <w:r>
        <w:t>/11/2012.)</w:t>
      </w:r>
    </w:p>
    <w:p w:rsidR="008F5BA3" w:rsidRDefault="008F5BA3" w:rsidP="000B4E33">
      <w:pPr>
        <w:pStyle w:val="Body"/>
      </w:pPr>
      <w:r>
        <w:rPr>
          <w:u w:val="single"/>
        </w:rPr>
        <w:t>Discussion</w:t>
      </w:r>
      <w:r>
        <w:t xml:space="preserve">:  </w:t>
      </w:r>
      <w:r w:rsidRPr="00323F38">
        <w:t>Lender</w:t>
      </w:r>
      <w:r>
        <w:t xml:space="preserve"> Plummer lent money to the Borrower, who used the loan to purchase two commercial properties.  The loan was a non-recourse loan subject to exceptions for certain borrower misconduct.  Borrower's affiliate executed a guaranty that would be triggered by the same forms of borrower misconduct, including that Guarantor would be responsible for repayment of the loan if "without the prior written consent of [Lender the lease] is terminated or canceled."</w:t>
      </w:r>
    </w:p>
    <w:p w:rsidR="008F5BA3" w:rsidRDefault="008F5BA3" w:rsidP="000B4E33">
      <w:pPr>
        <w:pStyle w:val="Body"/>
      </w:pPr>
      <w:r>
        <w:t>Borrower leased the properties to Washington Mutual under two leases.  After Washington Mutual went out of business and abandoned the properties, Borrower stopped making loan payments.  Although the FDIC repudiated the leases, Borrower did not terminate them, and the leases allowed the Borrower as landlord to keep the leases in effect under Cal. Civil Code section 1951.4.  Lender took title to the properties through a non-judicial foreclosure sale, terminated the leases in Lender's capacity as successor landlord, and sued the Guarantor for the balance owed on the loan.</w:t>
      </w:r>
    </w:p>
    <w:p w:rsidR="008F5BA3" w:rsidRDefault="008F5BA3" w:rsidP="000B4E33">
      <w:pPr>
        <w:pStyle w:val="Body"/>
      </w:pPr>
      <w:r>
        <w:t>The issue was whether Washington Mutual's failure to pay rent and abandoning the property terminated the leases and triggered Guarantor's duty to pay on the loan.  The trial court concluded that the guaranty was triggered, but the appellate court reversed, holding that the guaranty was not triggered because the termination was not by the landlord.</w:t>
      </w:r>
    </w:p>
    <w:p w:rsidR="008F5BA3" w:rsidRDefault="008F5BA3" w:rsidP="000B4E33">
      <w:pPr>
        <w:pStyle w:val="Body"/>
      </w:pPr>
      <w:r>
        <w:t>The appellate court took the plain language of the leases and reasoned that breach of the leases and abandonment did not terminate the lease.  The leases stated that the parties intended that the "Lease shall not be terminable for any reason by the Lessee," that the lease would continue "in effect so long as the lessor does not terminate the lessee's right of possession," and that "No act by Lessor other than giving notice of termination to Lessee shall terminate Lessee's right to possession."  Since Borrower never gave notice of termination to Washington Mutual, the lease was still in effect.  Therefore, the guaranty was never triggered.</w:t>
      </w:r>
    </w:p>
    <w:p w:rsidR="008F5BA3" w:rsidRDefault="008F5BA3" w:rsidP="000B4E33">
      <w:pPr>
        <w:pStyle w:val="Body"/>
      </w:pPr>
      <w:r>
        <w:t>The court reasoned that this language showed that the parties intended only certain "bad boy acts" to trigger the guaranty and that, in the absence of certain bad acts, the only security for the loan was the property.</w:t>
      </w:r>
    </w:p>
    <w:p w:rsidR="008F5BA3" w:rsidRPr="003D6F12" w:rsidRDefault="008F5BA3" w:rsidP="000B4E33">
      <w:pPr>
        <w:pStyle w:val="Heading2"/>
      </w:pPr>
      <w:r w:rsidRPr="003D6F12">
        <w:t>Practice Pointer</w:t>
      </w:r>
      <w:r>
        <w:t>s</w:t>
      </w:r>
    </w:p>
    <w:p w:rsidR="008F5BA3" w:rsidRDefault="008F5BA3" w:rsidP="000B4E33">
      <w:pPr>
        <w:pStyle w:val="Body"/>
      </w:pPr>
      <w:r>
        <w:t>A guaranty is likely to be enforced according to its express terms.</w:t>
      </w:r>
    </w:p>
    <w:p w:rsidR="008F5BA3" w:rsidRDefault="008F5BA3" w:rsidP="000B4E33">
      <w:pPr>
        <w:pStyle w:val="Body"/>
      </w:pPr>
      <w:r>
        <w:t>Property owners and managers should think twice before serving a Notice to Pay or Quit.  If the tenant quits in response to such a notice, the lease might be terminated and a guaranty triggered.  (</w:t>
      </w:r>
      <w:r>
        <w:rPr>
          <w:i/>
          <w:iCs/>
        </w:rPr>
        <w:t>Walt v. Superior Court</w:t>
      </w:r>
      <w:r>
        <w:t xml:space="preserve"> (1992) 8 Cal.App.4</w:t>
      </w:r>
      <w:r>
        <w:rPr>
          <w:vertAlign w:val="superscript"/>
        </w:rPr>
        <w:t>th</w:t>
      </w:r>
      <w:r>
        <w:t xml:space="preserve"> 1667; Cal. Civil Code section 1951.2.)</w:t>
      </w:r>
    </w:p>
    <w:p w:rsidR="008F5BA3" w:rsidRDefault="008F5BA3" w:rsidP="000B4E33">
      <w:pPr>
        <w:pStyle w:val="Heading2"/>
        <w:rPr>
          <w:u w:val="none"/>
        </w:rPr>
      </w:pPr>
      <w:r w:rsidRPr="00B43AA1">
        <w:t>Related cases and principles</w:t>
      </w:r>
    </w:p>
    <w:p w:rsidR="008F5BA3" w:rsidRPr="00B43AA1" w:rsidRDefault="008F5BA3" w:rsidP="000B4E33">
      <w:pPr>
        <w:pStyle w:val="BodyNumbered"/>
        <w:numPr>
          <w:ilvl w:val="0"/>
          <w:numId w:val="34"/>
        </w:numPr>
        <w:ind w:left="0"/>
      </w:pPr>
      <w:r w:rsidRPr="00E14E90">
        <w:rPr>
          <w:i/>
        </w:rPr>
        <w:t>Wells Fargo Bank, N.A.</w:t>
      </w:r>
      <w:r>
        <w:rPr>
          <w:i/>
        </w:rPr>
        <w:t xml:space="preserve"> v. </w:t>
      </w:r>
      <w:r w:rsidRPr="00E14E90">
        <w:rPr>
          <w:i/>
        </w:rPr>
        <w:t xml:space="preserve">Cherryland Mall, </w:t>
      </w:r>
      <w:r>
        <w:t>295 Mich. App. 99 (2011) (borrower's insolvency triggered otherwise nonrecourse guaranty)</w:t>
      </w:r>
    </w:p>
    <w:p w:rsidR="008F5BA3" w:rsidRDefault="008F5BA3" w:rsidP="000B4E33">
      <w:pPr>
        <w:pStyle w:val="BodyNumbered"/>
        <w:numPr>
          <w:ilvl w:val="0"/>
          <w:numId w:val="34"/>
        </w:numPr>
        <w:ind w:left="0"/>
      </w:pPr>
      <w:r>
        <w:t xml:space="preserve">There are other reasons as well for thinking twice before serving a notice of default.  See </w:t>
      </w:r>
      <w:hyperlink r:id="rId17" w:history="1">
        <w:r w:rsidRPr="000D05DE">
          <w:rPr>
            <w:rStyle w:val="Hyperlink"/>
          </w:rPr>
          <w:t>http://www.allenmatkins.com/Publications/Legal-Alerts/2009/03/04_03_2009_Think-Twice-Before-Serving-A-ThreeDay-Notice-to-Pay-Rent-or-Quit.aspx</w:t>
        </w:r>
      </w:hyperlink>
    </w:p>
    <w:p w:rsidR="008F5BA3" w:rsidRPr="00855E28" w:rsidRDefault="008F5BA3" w:rsidP="00FD2844">
      <w:pPr>
        <w:pStyle w:val="Heading1"/>
      </w:pPr>
      <w:bookmarkStart w:id="5" w:name="_Toc330293786"/>
      <w:r w:rsidRPr="00855E28">
        <w:t>Draft Your Notice by Email Provision Carefully – Very Carefully</w:t>
      </w:r>
      <w:bookmarkEnd w:id="5"/>
    </w:p>
    <w:p w:rsidR="008F5BA3" w:rsidRDefault="008F5BA3" w:rsidP="00FD2844">
      <w:pPr>
        <w:pStyle w:val="Body"/>
      </w:pPr>
      <w:r w:rsidRPr="00855E28">
        <w:rPr>
          <w:u w:val="single"/>
        </w:rPr>
        <w:t>Holding</w:t>
      </w:r>
      <w:r w:rsidRPr="00855E28">
        <w:t>:</w:t>
      </w:r>
      <w:r>
        <w:t xml:space="preserve">  </w:t>
      </w:r>
      <w:r w:rsidRPr="00855E28">
        <w:rPr>
          <w:b/>
        </w:rPr>
        <w:t>Because the lease tied the effectiveness of the electronic service of notice to the receipt of the notice at the physical address, the fact the plaintiff failed to send the notice to the physical address provided for in the lease essentially negated the receipt of the electronic service.  The fact the defendant actually received the electronic notice did not act to cure the deficiency of the physical service</w:t>
      </w:r>
      <w:r>
        <w:t xml:space="preserve">. </w:t>
      </w:r>
      <w:r w:rsidRPr="00855E28">
        <w:rPr>
          <w:i/>
        </w:rPr>
        <w:t>Culver Center Partners East #1, L.P.</w:t>
      </w:r>
      <w:r>
        <w:rPr>
          <w:i/>
        </w:rPr>
        <w:t xml:space="preserve"> v. </w:t>
      </w:r>
      <w:r w:rsidRPr="00855E28">
        <w:rPr>
          <w:i/>
        </w:rPr>
        <w:t>Baja Fresh Westlake Village, Inc.</w:t>
      </w:r>
      <w:r>
        <w:t>, 185 Cal.App.4th 744; 110 Cal.Rptr.3d 833; 210 Cal.App. LEXIS 876.</w:t>
      </w:r>
    </w:p>
    <w:p w:rsidR="008F5BA3" w:rsidRDefault="008F5BA3" w:rsidP="00FD2844">
      <w:pPr>
        <w:pStyle w:val="Body"/>
      </w:pPr>
      <w:r>
        <w:t>Baja Fresh's lease agreement authorized electronic service of notices.  After signing the initial lease agreement, both Baja Fresh and Culver Center sent each other change-of-address notices.</w:t>
      </w:r>
    </w:p>
    <w:p w:rsidR="008F5BA3" w:rsidRDefault="008F5BA3" w:rsidP="00FD2844">
      <w:pPr>
        <w:pStyle w:val="Body"/>
      </w:pPr>
      <w:r>
        <w:t>In 2009, Culver Center sent a five-day notice to pay rent or quit, which it delivered to Baja Fresh by certified mail and facsimile to Baja Fresh's leasing manager's business address and by e</w:t>
      </w:r>
      <w:r>
        <w:noBreakHyphen/>
        <w:t>mail.  The notices were not mailed to Baja Fresh's new address for service.</w:t>
      </w:r>
    </w:p>
    <w:p w:rsidR="008F5BA3" w:rsidRDefault="008F5BA3" w:rsidP="00FD2844">
      <w:pPr>
        <w:pStyle w:val="Body"/>
      </w:pPr>
      <w:r>
        <w:t>In its motion for summary judgment, Baja Fresh argued that it had not been properly served.</w:t>
      </w:r>
    </w:p>
    <w:p w:rsidR="008F5BA3" w:rsidRDefault="008F5BA3" w:rsidP="00FD2844">
      <w:pPr>
        <w:pStyle w:val="Body"/>
      </w:pPr>
      <w:r>
        <w:t>The appellate court acknowledged that e</w:t>
      </w:r>
      <w:r>
        <w:noBreakHyphen/>
        <w:t>mail was a valid type of "electronic transmission" for service under the lease, but held that notice must be delivered to the address for service that the parties designated.  Since Culver Center did not show that the e</w:t>
      </w:r>
      <w:r>
        <w:noBreakHyphen/>
        <w:t>mail was sent to or received by the leasing manager at the designated address, service was defective.</w:t>
      </w:r>
    </w:p>
    <w:p w:rsidR="008F5BA3" w:rsidRDefault="008F5BA3" w:rsidP="00FD2844">
      <w:pPr>
        <w:pStyle w:val="Body"/>
      </w:pPr>
      <w:r>
        <w:t>The court admitted that "this focus on the physical location of receipt (or delivery) of an e</w:t>
      </w:r>
      <w:r>
        <w:noBreakHyphen/>
        <w:t>mail has some artificiality (and technological naiveté) in this age of laptop computers and smartphones," but stated that the fault was in the language of the lease, which failed to designate an appropriate address for service: "Because the e</w:t>
      </w:r>
      <w:r>
        <w:noBreakHyphen/>
        <w:t>mail was not served at the only address designated for service of notice, it did not comply with the lease."</w:t>
      </w:r>
    </w:p>
    <w:p w:rsidR="008F5BA3" w:rsidRDefault="008F5BA3" w:rsidP="00FD2844">
      <w:pPr>
        <w:pStyle w:val="Body"/>
      </w:pPr>
      <w:r>
        <w:t>Whereas other cases have held that technically improper service was sufficient for personal service where a landlord served a notice to quit by mail and the tenant admitted to receiving it, the court held those cases inapplicable because Culver Center failed to send the notice to the proper (and only) physical address listed in the lease.  Therefore, e</w:t>
      </w:r>
      <w:r>
        <w:noBreakHyphen/>
        <w:t>mail delivery was not analogous to personal service.</w:t>
      </w:r>
    </w:p>
    <w:p w:rsidR="008F5BA3" w:rsidRDefault="008F5BA3" w:rsidP="00FD2844">
      <w:pPr>
        <w:pStyle w:val="Body"/>
      </w:pPr>
      <w:r>
        <w:t>The Court's analysis may have been impacted by the fact that Baja Fresh attempted to pay the past due rent after Baja received the electronic notice.  However, ironically, due to a mis-addressed overnight package, the rent payment was not received in a timely manner.</w:t>
      </w:r>
    </w:p>
    <w:p w:rsidR="008F5BA3" w:rsidRDefault="008F5BA3" w:rsidP="00FD2844">
      <w:pPr>
        <w:pStyle w:val="Body"/>
      </w:pPr>
      <w:r>
        <w:t>Additionally, in the case at hand, the parties are commercial entities and the language of the lease itself provides for the requirements of notice and waiver.  The subject lease provided (i) clear language for effective notice and this was not satisfied and (ii) clear language on what constitutes a waiver and those waiver conditions were not met.</w:t>
      </w:r>
    </w:p>
    <w:p w:rsidR="008F5BA3" w:rsidRDefault="008F5BA3" w:rsidP="00FD2844">
      <w:pPr>
        <w:pStyle w:val="Heading2"/>
      </w:pPr>
      <w:r>
        <w:t>Practice Pointers</w:t>
      </w:r>
    </w:p>
    <w:p w:rsidR="008F5BA3" w:rsidRDefault="008F5BA3" w:rsidP="00FD2844">
      <w:pPr>
        <w:pStyle w:val="BodyNumbered"/>
        <w:numPr>
          <w:ilvl w:val="0"/>
          <w:numId w:val="45"/>
        </w:numPr>
        <w:ind w:left="0"/>
      </w:pPr>
      <w:r>
        <w:t>Do not link electronic notification to a physical address.</w:t>
      </w:r>
    </w:p>
    <w:p w:rsidR="008F5BA3" w:rsidRDefault="008F5BA3" w:rsidP="00FD2844">
      <w:pPr>
        <w:pStyle w:val="BodyNumbered"/>
        <w:numPr>
          <w:ilvl w:val="0"/>
          <w:numId w:val="34"/>
        </w:numPr>
        <w:ind w:left="0"/>
      </w:pPr>
      <w:r>
        <w:t>If you want to be able to serve notices via e</w:t>
      </w:r>
      <w:r>
        <w:noBreakHyphen/>
        <w:t xml:space="preserve">mail, make sure the lease language is properly drafted.  Designate an "electronic notification address" specifically for receipt and delivery of electronic notices </w:t>
      </w:r>
      <w:r w:rsidRPr="00855E28">
        <w:rPr>
          <w:b/>
        </w:rPr>
        <w:t>regardless</w:t>
      </w:r>
      <w:r>
        <w:t xml:space="preserve"> of the physical location.</w:t>
      </w:r>
    </w:p>
    <w:p w:rsidR="008F5BA3" w:rsidRDefault="008F5BA3" w:rsidP="00FD2844">
      <w:pPr>
        <w:pStyle w:val="Heading1"/>
      </w:pPr>
      <w:bookmarkStart w:id="6" w:name="_Toc330293787"/>
      <w:r w:rsidRPr="00404F91">
        <w:t>Restrictive Leasing Covenants</w:t>
      </w:r>
      <w:bookmarkEnd w:id="6"/>
    </w:p>
    <w:p w:rsidR="008F5BA3" w:rsidRDefault="008F5BA3" w:rsidP="00FD2844">
      <w:pPr>
        <w:pStyle w:val="Body"/>
        <w:rPr>
          <w:b/>
        </w:rPr>
      </w:pPr>
      <w:r w:rsidRPr="00404F91">
        <w:rPr>
          <w:u w:val="single"/>
        </w:rPr>
        <w:t>Holding</w:t>
      </w:r>
      <w:r>
        <w:rPr>
          <w:bCs/>
        </w:rPr>
        <w:t xml:space="preserve">:  </w:t>
      </w:r>
      <w:r w:rsidRPr="00587663">
        <w:t xml:space="preserve">Where a landlord and tenant negotiated a restrictive covenant barring the landlord from leasing in the future to </w:t>
      </w:r>
      <w:r>
        <w:rPr>
          <w:b/>
        </w:rPr>
        <w:t>"</w:t>
      </w:r>
      <w:r w:rsidRPr="00587663">
        <w:t>a so-called fast food restaurant, food service establishment, drive-in or walk-up eating facility</w:t>
      </w:r>
      <w:r>
        <w:rPr>
          <w:b/>
        </w:rPr>
        <w:t>"</w:t>
      </w:r>
      <w:r w:rsidRPr="00587663">
        <w:t xml:space="preserve">, the words </w:t>
      </w:r>
      <w:r>
        <w:rPr>
          <w:b/>
        </w:rPr>
        <w:t>"</w:t>
      </w:r>
      <w:r w:rsidRPr="00587663">
        <w:t>so-called fast food</w:t>
      </w:r>
      <w:r>
        <w:rPr>
          <w:b/>
        </w:rPr>
        <w:t>"</w:t>
      </w:r>
      <w:r w:rsidRPr="00587663">
        <w:t xml:space="preserve"> as used in the lease also modify </w:t>
      </w:r>
      <w:r>
        <w:rPr>
          <w:b/>
        </w:rPr>
        <w:t>"</w:t>
      </w:r>
      <w:r w:rsidRPr="00587663">
        <w:t>food service establishment</w:t>
      </w:r>
      <w:r>
        <w:rPr>
          <w:b/>
        </w:rPr>
        <w:t>"</w:t>
      </w:r>
      <w:r w:rsidRPr="00587663">
        <w:t xml:space="preserve"> and not just </w:t>
      </w:r>
      <w:r>
        <w:rPr>
          <w:b/>
        </w:rPr>
        <w:t>"</w:t>
      </w:r>
      <w:r w:rsidRPr="00587663">
        <w:t>restaurant</w:t>
      </w:r>
      <w:r>
        <w:rPr>
          <w:b/>
        </w:rPr>
        <w:t>"</w:t>
      </w:r>
      <w:r w:rsidRPr="00587663">
        <w:t>.</w:t>
      </w:r>
      <w:r>
        <w:rPr>
          <w:b/>
        </w:rPr>
        <w:t xml:space="preserve">  </w:t>
      </w:r>
      <w:r w:rsidRPr="00587663">
        <w:t xml:space="preserve">Moreover, the lease covenant will be controlling even when a subsequently recorded property document omits the </w:t>
      </w:r>
      <w:r>
        <w:rPr>
          <w:b/>
        </w:rPr>
        <w:t>"</w:t>
      </w:r>
      <w:r w:rsidRPr="00587663">
        <w:t>so-called fast food</w:t>
      </w:r>
      <w:r>
        <w:rPr>
          <w:b/>
        </w:rPr>
        <w:t>"</w:t>
      </w:r>
      <w:r w:rsidRPr="00587663">
        <w:t xml:space="preserve"> modifying words when it appears the omission was merely an oversight.</w:t>
      </w:r>
      <w:r>
        <w:rPr>
          <w:b/>
        </w:rPr>
        <w:t xml:space="preserve">  </w:t>
      </w:r>
      <w:r w:rsidRPr="00587663">
        <w:t>McDonald</w:t>
      </w:r>
      <w:r>
        <w:rPr>
          <w:b/>
        </w:rPr>
        <w:t>'</w:t>
      </w:r>
      <w:r w:rsidRPr="00587663">
        <w:t>s Corp.</w:t>
      </w:r>
      <w:r>
        <w:t xml:space="preserve"> v. </w:t>
      </w:r>
      <w:r w:rsidRPr="00587663">
        <w:t>Rappaport, 532 F.Supp. 2d 264 (Mass. 2008).</w:t>
      </w:r>
    </w:p>
    <w:p w:rsidR="008F5BA3" w:rsidRDefault="008F5BA3" w:rsidP="00FD2844">
      <w:pPr>
        <w:pStyle w:val="Body"/>
        <w:rPr>
          <w:b/>
        </w:rPr>
      </w:pPr>
      <w:r w:rsidRPr="00404F91">
        <w:rPr>
          <w:u w:val="single"/>
        </w:rPr>
        <w:t>Discussion</w:t>
      </w:r>
      <w:r>
        <w:t xml:space="preserve">:  </w:t>
      </w:r>
      <w:r w:rsidRPr="00587663">
        <w:t>In 1993, McDonald</w:t>
      </w:r>
      <w:r>
        <w:rPr>
          <w:b/>
        </w:rPr>
        <w:t>'</w:t>
      </w:r>
      <w:r w:rsidRPr="00587663">
        <w:t>s Corp. (</w:t>
      </w:r>
      <w:r>
        <w:rPr>
          <w:b/>
        </w:rPr>
        <w:t>"</w:t>
      </w:r>
      <w:r w:rsidRPr="00587663">
        <w:t>McDonald</w:t>
      </w:r>
      <w:r>
        <w:rPr>
          <w:b/>
        </w:rPr>
        <w:t>'</w:t>
      </w:r>
      <w:r w:rsidRPr="00587663">
        <w:t>s</w:t>
      </w:r>
      <w:r>
        <w:rPr>
          <w:b/>
        </w:rPr>
        <w:t>"</w:t>
      </w:r>
      <w:r w:rsidRPr="00587663">
        <w:t>) leased space in the Highlander Plaza (</w:t>
      </w:r>
      <w:r>
        <w:rPr>
          <w:b/>
        </w:rPr>
        <w:t>"</w:t>
      </w:r>
      <w:r w:rsidRPr="00587663">
        <w:t>Highlander</w:t>
      </w:r>
      <w:r>
        <w:rPr>
          <w:b/>
        </w:rPr>
        <w:t>"</w:t>
      </w:r>
      <w:r w:rsidRPr="00587663">
        <w:t>) shopping center.</w:t>
      </w:r>
      <w:r>
        <w:rPr>
          <w:b/>
        </w:rPr>
        <w:t xml:space="preserve">  </w:t>
      </w:r>
      <w:r w:rsidRPr="00587663">
        <w:t xml:space="preserve">The lease included a </w:t>
      </w:r>
      <w:r>
        <w:rPr>
          <w:b/>
        </w:rPr>
        <w:t>"</w:t>
      </w:r>
      <w:r w:rsidRPr="00587663">
        <w:t>Restrictive Covenant</w:t>
      </w:r>
      <w:r>
        <w:rPr>
          <w:b/>
        </w:rPr>
        <w:t>"</w:t>
      </w:r>
      <w:r w:rsidRPr="00587663">
        <w:t xml:space="preserve"> provision which barred the landlord from leasing to any </w:t>
      </w:r>
      <w:r>
        <w:t>"</w:t>
      </w:r>
      <w:r w:rsidRPr="00404F91">
        <w:rPr>
          <w:b/>
        </w:rPr>
        <w:t>so-called fast food restaurant, food service establishment, drive-in or walk-up eating facility</w:t>
      </w:r>
      <w:r>
        <w:t>"</w:t>
      </w:r>
      <w:r w:rsidRPr="00587663">
        <w:t>.</w:t>
      </w:r>
      <w:r>
        <w:rPr>
          <w:b/>
        </w:rPr>
        <w:t xml:space="preserve">  </w:t>
      </w:r>
      <w:r w:rsidRPr="00587663">
        <w:t>(532 F.Supp. 2d at 266.)</w:t>
      </w:r>
      <w:r>
        <w:rPr>
          <w:b/>
        </w:rPr>
        <w:t xml:space="preserve">  </w:t>
      </w:r>
      <w:r w:rsidRPr="00587663">
        <w:t>Several months after the lease was signed, McDonald</w:t>
      </w:r>
      <w:r>
        <w:rPr>
          <w:b/>
        </w:rPr>
        <w:t>'</w:t>
      </w:r>
      <w:r w:rsidRPr="00587663">
        <w:t xml:space="preserve">s prepared and Highlander signed a separate </w:t>
      </w:r>
      <w:r>
        <w:rPr>
          <w:b/>
        </w:rPr>
        <w:t>"</w:t>
      </w:r>
      <w:r w:rsidRPr="00587663">
        <w:t>Covenant Not to Compete</w:t>
      </w:r>
      <w:r>
        <w:rPr>
          <w:b/>
        </w:rPr>
        <w:t>"</w:t>
      </w:r>
      <w:r w:rsidRPr="00587663">
        <w:t>.</w:t>
      </w:r>
      <w:r>
        <w:rPr>
          <w:b/>
        </w:rPr>
        <w:t xml:space="preserve">  </w:t>
      </w:r>
      <w:r w:rsidRPr="00587663">
        <w:t>(</w:t>
      </w:r>
      <w:r w:rsidRPr="00B81883">
        <w:rPr>
          <w:i/>
          <w:iCs/>
        </w:rPr>
        <w:t>Id</w:t>
      </w:r>
      <w:r w:rsidRPr="00587663">
        <w:t>.)</w:t>
      </w:r>
      <w:r>
        <w:rPr>
          <w:b/>
        </w:rPr>
        <w:t xml:space="preserve">  </w:t>
      </w:r>
      <w:r w:rsidRPr="00587663">
        <w:t xml:space="preserve">This separate covenant, which Highlander signed without advice of counsel and </w:t>
      </w:r>
      <w:r w:rsidRPr="00404F91">
        <w:rPr>
          <w:b/>
        </w:rPr>
        <w:t xml:space="preserve">which omitted the words </w:t>
      </w:r>
      <w:r>
        <w:t>"</w:t>
      </w:r>
      <w:r w:rsidRPr="00404F91">
        <w:rPr>
          <w:b/>
        </w:rPr>
        <w:t>so-called fast food</w:t>
      </w:r>
      <w:r>
        <w:t>"</w:t>
      </w:r>
      <w:r w:rsidRPr="00587663">
        <w:t xml:space="preserve"> was then filed in the registry of deeds.</w:t>
      </w:r>
      <w:r>
        <w:rPr>
          <w:b/>
        </w:rPr>
        <w:t xml:space="preserve">  </w:t>
      </w:r>
      <w:r w:rsidRPr="00587663">
        <w:t>(</w:t>
      </w:r>
      <w:r w:rsidRPr="00B81883">
        <w:rPr>
          <w:i/>
          <w:iCs/>
        </w:rPr>
        <w:t>Id</w:t>
      </w:r>
      <w:r w:rsidRPr="00587663">
        <w:t>.)</w:t>
      </w:r>
      <w:r>
        <w:rPr>
          <w:b/>
        </w:rPr>
        <w:t xml:space="preserve">  </w:t>
      </w:r>
      <w:r w:rsidRPr="00587663">
        <w:t>Many years later, in 2007, Highlander leased space in the shopping center to an International House of Pancakes (</w:t>
      </w:r>
      <w:r>
        <w:rPr>
          <w:b/>
        </w:rPr>
        <w:t>"</w:t>
      </w:r>
      <w:r w:rsidRPr="00587663">
        <w:t>IHOP</w:t>
      </w:r>
      <w:r>
        <w:rPr>
          <w:b/>
        </w:rPr>
        <w:t>"</w:t>
      </w:r>
      <w:r w:rsidRPr="00587663">
        <w:t>) restaurant.</w:t>
      </w:r>
      <w:r>
        <w:rPr>
          <w:b/>
        </w:rPr>
        <w:t xml:space="preserve">  </w:t>
      </w:r>
      <w:r w:rsidRPr="00587663">
        <w:t>(</w:t>
      </w:r>
      <w:r w:rsidRPr="00B81883">
        <w:rPr>
          <w:i/>
          <w:iCs/>
        </w:rPr>
        <w:t>Id</w:t>
      </w:r>
      <w:r w:rsidRPr="00587663">
        <w:t>. at 267.)</w:t>
      </w:r>
      <w:r>
        <w:rPr>
          <w:b/>
        </w:rPr>
        <w:t xml:space="preserve">  </w:t>
      </w:r>
      <w:r w:rsidRPr="00587663">
        <w:t>McDonald</w:t>
      </w:r>
      <w:r>
        <w:rPr>
          <w:b/>
        </w:rPr>
        <w:t>'</w:t>
      </w:r>
      <w:r w:rsidRPr="00587663">
        <w:t>s objected and sued to enjoin Highlander</w:t>
      </w:r>
      <w:r>
        <w:rPr>
          <w:b/>
        </w:rPr>
        <w:t>'</w:t>
      </w:r>
      <w:r w:rsidRPr="00587663">
        <w:t>s lease to IHOP and for declaratory relief, and the court held a bench trial on the merits.</w:t>
      </w:r>
      <w:r>
        <w:rPr>
          <w:b/>
        </w:rPr>
        <w:t xml:space="preserve">  </w:t>
      </w:r>
      <w:r w:rsidRPr="00587663">
        <w:t>(</w:t>
      </w:r>
      <w:r w:rsidRPr="00B81883">
        <w:rPr>
          <w:i/>
          <w:iCs/>
        </w:rPr>
        <w:t>Id</w:t>
      </w:r>
      <w:r w:rsidRPr="00587663">
        <w:t>. at 267-68.)</w:t>
      </w:r>
    </w:p>
    <w:p w:rsidR="008F5BA3" w:rsidRPr="00E14E90" w:rsidRDefault="008F5BA3" w:rsidP="00FD2844">
      <w:pPr>
        <w:pStyle w:val="Body"/>
        <w:rPr>
          <w:b/>
        </w:rPr>
      </w:pPr>
      <w:r w:rsidRPr="00587663">
        <w:t>McDonald</w:t>
      </w:r>
      <w:r>
        <w:rPr>
          <w:b/>
        </w:rPr>
        <w:t>'</w:t>
      </w:r>
      <w:r w:rsidRPr="00587663">
        <w:t xml:space="preserve">s asserted at trial that the restrictive covenant applies to all </w:t>
      </w:r>
      <w:r>
        <w:rPr>
          <w:b/>
        </w:rPr>
        <w:t>"</w:t>
      </w:r>
      <w:r w:rsidRPr="00587663">
        <w:t>food service establishments</w:t>
      </w:r>
      <w:r>
        <w:rPr>
          <w:b/>
        </w:rPr>
        <w:t>"</w:t>
      </w:r>
      <w:r w:rsidRPr="00587663">
        <w:t xml:space="preserve">, arguing that </w:t>
      </w:r>
      <w:r w:rsidRPr="00404F91">
        <w:rPr>
          <w:b/>
        </w:rPr>
        <w:t xml:space="preserve">the words </w:t>
      </w:r>
      <w:r>
        <w:t>"</w:t>
      </w:r>
      <w:r w:rsidRPr="00404F91">
        <w:rPr>
          <w:b/>
        </w:rPr>
        <w:t>so-called fast food</w:t>
      </w:r>
      <w:r>
        <w:t>"</w:t>
      </w:r>
      <w:r w:rsidRPr="00404F91">
        <w:rPr>
          <w:b/>
        </w:rPr>
        <w:t xml:space="preserve"> modify only </w:t>
      </w:r>
      <w:r>
        <w:t>"</w:t>
      </w:r>
      <w:r w:rsidRPr="00404F91">
        <w:rPr>
          <w:b/>
        </w:rPr>
        <w:t>restaurant</w:t>
      </w:r>
      <w:r>
        <w:t>"</w:t>
      </w:r>
      <w:r w:rsidRPr="00587663">
        <w:t xml:space="preserve"> and not the remaining elements of the series – in particular, not to a </w:t>
      </w:r>
      <w:r>
        <w:rPr>
          <w:b/>
        </w:rPr>
        <w:t>"</w:t>
      </w:r>
      <w:r w:rsidRPr="00587663">
        <w:t>food service establishment</w:t>
      </w:r>
      <w:r>
        <w:rPr>
          <w:b/>
        </w:rPr>
        <w:t>"</w:t>
      </w:r>
      <w:r w:rsidRPr="00587663">
        <w:t xml:space="preserve"> such as IHOP.</w:t>
      </w:r>
      <w:r>
        <w:rPr>
          <w:b/>
        </w:rPr>
        <w:t xml:space="preserve">  </w:t>
      </w:r>
      <w:r w:rsidRPr="00587663">
        <w:t>(</w:t>
      </w:r>
      <w:r w:rsidRPr="00B81883">
        <w:rPr>
          <w:i/>
          <w:iCs/>
        </w:rPr>
        <w:t>Id</w:t>
      </w:r>
      <w:r w:rsidRPr="00587663">
        <w:t>. at 269.)</w:t>
      </w:r>
      <w:r>
        <w:rPr>
          <w:b/>
        </w:rPr>
        <w:t xml:space="preserve">  </w:t>
      </w:r>
      <w:r w:rsidRPr="00587663">
        <w:t xml:space="preserve">Highlander claimed that </w:t>
      </w:r>
      <w:r w:rsidRPr="00404F91">
        <w:rPr>
          <w:b/>
        </w:rPr>
        <w:t xml:space="preserve">the covenant applies to only </w:t>
      </w:r>
      <w:r>
        <w:t>"</w:t>
      </w:r>
      <w:r w:rsidRPr="00404F91">
        <w:rPr>
          <w:b/>
        </w:rPr>
        <w:t>fast food</w:t>
      </w:r>
      <w:r>
        <w:t>"</w:t>
      </w:r>
      <w:r w:rsidRPr="00404F91">
        <w:rPr>
          <w:b/>
        </w:rPr>
        <w:t xml:space="preserve"> lessees</w:t>
      </w:r>
      <w:r w:rsidRPr="00587663">
        <w:t xml:space="preserve"> and that the phrase </w:t>
      </w:r>
      <w:r>
        <w:rPr>
          <w:b/>
        </w:rPr>
        <w:t>"</w:t>
      </w:r>
      <w:r w:rsidRPr="00587663">
        <w:t>so-called fast food</w:t>
      </w:r>
      <w:r>
        <w:rPr>
          <w:b/>
        </w:rPr>
        <w:t>"</w:t>
      </w:r>
      <w:r w:rsidRPr="00587663">
        <w:t xml:space="preserve"> also modifies </w:t>
      </w:r>
      <w:r>
        <w:rPr>
          <w:b/>
        </w:rPr>
        <w:t>"</w:t>
      </w:r>
      <w:r w:rsidRPr="00587663">
        <w:t>food service establishment</w:t>
      </w:r>
      <w:r>
        <w:rPr>
          <w:b/>
        </w:rPr>
        <w:t>"</w:t>
      </w:r>
      <w:r w:rsidRPr="00587663">
        <w:t xml:space="preserve"> and all of the elements that follow in the clause because of the placement of the conjunctive </w:t>
      </w:r>
      <w:r>
        <w:rPr>
          <w:b/>
        </w:rPr>
        <w:t>"</w:t>
      </w:r>
      <w:r w:rsidRPr="00587663">
        <w:t>or</w:t>
      </w:r>
      <w:r>
        <w:rPr>
          <w:b/>
        </w:rPr>
        <w:t>"</w:t>
      </w:r>
      <w:r w:rsidRPr="00587663">
        <w:t xml:space="preserve"> in the sentence.</w:t>
      </w:r>
      <w:r>
        <w:rPr>
          <w:b/>
        </w:rPr>
        <w:t xml:space="preserve">  </w:t>
      </w:r>
      <w:r w:rsidRPr="00587663">
        <w:t>(</w:t>
      </w:r>
      <w:r w:rsidRPr="00B81883">
        <w:rPr>
          <w:i/>
          <w:iCs/>
        </w:rPr>
        <w:t>Id</w:t>
      </w:r>
      <w:r w:rsidRPr="00587663">
        <w:t>.)</w:t>
      </w:r>
      <w:r>
        <w:rPr>
          <w:b/>
        </w:rPr>
        <w:t xml:space="preserve">  </w:t>
      </w:r>
      <w:r w:rsidRPr="00587663">
        <w:t xml:space="preserve">The court ruled the covenant </w:t>
      </w:r>
      <w:r>
        <w:rPr>
          <w:b/>
        </w:rPr>
        <w:t>"</w:t>
      </w:r>
      <w:r w:rsidRPr="00587663">
        <w:t>ambiguous</w:t>
      </w:r>
      <w:r>
        <w:rPr>
          <w:b/>
        </w:rPr>
        <w:t>"</w:t>
      </w:r>
      <w:r w:rsidRPr="00587663">
        <w:t xml:space="preserve"> and so considered extrinsic evidence of the parties</w:t>
      </w:r>
      <w:r>
        <w:rPr>
          <w:b/>
        </w:rPr>
        <w:t>'</w:t>
      </w:r>
      <w:r w:rsidRPr="00587663">
        <w:t xml:space="preserve"> 1993 lease negotiations to </w:t>
      </w:r>
      <w:r>
        <w:rPr>
          <w:b/>
        </w:rPr>
        <w:t>"</w:t>
      </w:r>
      <w:r w:rsidRPr="00587663">
        <w:t>elucidate the meaning</w:t>
      </w:r>
      <w:r>
        <w:rPr>
          <w:b/>
        </w:rPr>
        <w:t>"</w:t>
      </w:r>
      <w:r w:rsidRPr="00587663">
        <w:t xml:space="preserve"> of the contract term.</w:t>
      </w:r>
      <w:r>
        <w:rPr>
          <w:b/>
        </w:rPr>
        <w:t xml:space="preserve">  </w:t>
      </w:r>
      <w:r w:rsidRPr="00587663">
        <w:t>(</w:t>
      </w:r>
      <w:r w:rsidRPr="00B81883">
        <w:rPr>
          <w:i/>
          <w:iCs/>
        </w:rPr>
        <w:t>Id</w:t>
      </w:r>
      <w:r w:rsidRPr="00587663">
        <w:t>.)</w:t>
      </w:r>
      <w:r>
        <w:rPr>
          <w:b/>
        </w:rPr>
        <w:t xml:space="preserve">  </w:t>
      </w:r>
      <w:r w:rsidRPr="00587663">
        <w:t xml:space="preserve">The court found that in 1993 </w:t>
      </w:r>
      <w:r w:rsidRPr="00404F91">
        <w:rPr>
          <w:b/>
        </w:rPr>
        <w:t>McDonald</w:t>
      </w:r>
      <w:r>
        <w:t>'</w:t>
      </w:r>
      <w:r w:rsidRPr="00404F91">
        <w:rPr>
          <w:b/>
        </w:rPr>
        <w:t>s originally sought</w:t>
      </w:r>
      <w:r w:rsidRPr="00587663">
        <w:t xml:space="preserve"> a broad restrictive covenant, one that prohibited Highlander from renting to </w:t>
      </w:r>
      <w:r w:rsidRPr="00404F91">
        <w:rPr>
          <w:b/>
        </w:rPr>
        <w:t>all</w:t>
      </w:r>
      <w:r w:rsidRPr="00587663">
        <w:t xml:space="preserve"> other food service establishments</w:t>
      </w:r>
      <w:r w:rsidRPr="00E14E90">
        <w:t>:</w:t>
      </w:r>
    </w:p>
    <w:p w:rsidR="008F5BA3" w:rsidRDefault="008F5BA3" w:rsidP="00FD2844">
      <w:pPr>
        <w:pStyle w:val="Quote"/>
        <w:rPr>
          <w:b/>
        </w:rPr>
      </w:pPr>
      <w:r>
        <w:rPr>
          <w:b/>
        </w:rPr>
        <w:t>"</w:t>
      </w:r>
      <w:r w:rsidRPr="00587663">
        <w:t xml:space="preserve">Landlord covenants and agrees that no property </w:t>
      </w:r>
      <w:r>
        <w:t>. . .</w:t>
      </w:r>
      <w:r w:rsidRPr="00587663">
        <w:t xml:space="preserve"> shall </w:t>
      </w:r>
      <w:r>
        <w:t>. . .</w:t>
      </w:r>
      <w:r w:rsidRPr="00587663">
        <w:t xml:space="preserve"> be leased, used, or occupied as a restaurant, food service establishment, drive-in or walk-up eating facility</w:t>
      </w:r>
      <w:r>
        <w:t>. . . .</w:t>
      </w:r>
      <w:r>
        <w:rPr>
          <w:b/>
        </w:rPr>
        <w:t xml:space="preserve">"  </w:t>
      </w:r>
      <w:r w:rsidRPr="00587663">
        <w:t>(</w:t>
      </w:r>
      <w:r w:rsidRPr="00B81883">
        <w:rPr>
          <w:i/>
        </w:rPr>
        <w:t>Id</w:t>
      </w:r>
      <w:r w:rsidRPr="00587663">
        <w:t>. at 270.)</w:t>
      </w:r>
    </w:p>
    <w:p w:rsidR="008F5BA3" w:rsidRDefault="008F5BA3" w:rsidP="00FD2844">
      <w:pPr>
        <w:pStyle w:val="Body"/>
        <w:rPr>
          <w:b/>
        </w:rPr>
      </w:pPr>
      <w:r w:rsidRPr="00587663">
        <w:t>The court heard evidence that Highlander did not accept such a sweeping covenant, agreeing only to restrict its ability to lease to other fast food restaurants, and that McDonald</w:t>
      </w:r>
      <w:r>
        <w:rPr>
          <w:b/>
        </w:rPr>
        <w:t>'</w:t>
      </w:r>
      <w:r w:rsidRPr="00587663">
        <w:t>s accepted the narrower restriction.</w:t>
      </w:r>
      <w:r>
        <w:rPr>
          <w:b/>
        </w:rPr>
        <w:t xml:space="preserve">  </w:t>
      </w:r>
      <w:r w:rsidRPr="00587663">
        <w:t>(</w:t>
      </w:r>
      <w:r w:rsidRPr="00B81883">
        <w:rPr>
          <w:i/>
          <w:iCs/>
        </w:rPr>
        <w:t>Id</w:t>
      </w:r>
      <w:r w:rsidRPr="00587663">
        <w:t>. at 270-71.)</w:t>
      </w:r>
      <w:r>
        <w:rPr>
          <w:b/>
        </w:rPr>
        <w:t xml:space="preserve">  </w:t>
      </w:r>
      <w:r w:rsidRPr="00587663">
        <w:t xml:space="preserve"> McDonald</w:t>
      </w:r>
      <w:r>
        <w:rPr>
          <w:b/>
        </w:rPr>
        <w:t>'</w:t>
      </w:r>
      <w:r w:rsidRPr="00587663">
        <w:t>s argued that because Highlander</w:t>
      </w:r>
      <w:r>
        <w:rPr>
          <w:b/>
        </w:rPr>
        <w:t>'</w:t>
      </w:r>
      <w:r w:rsidRPr="00587663">
        <w:t xml:space="preserve">s counsel had inserted the words </w:t>
      </w:r>
      <w:r>
        <w:rPr>
          <w:b/>
        </w:rPr>
        <w:t>"</w:t>
      </w:r>
      <w:r w:rsidRPr="00587663">
        <w:t>so-called fast food</w:t>
      </w:r>
      <w:r>
        <w:rPr>
          <w:b/>
        </w:rPr>
        <w:t>"</w:t>
      </w:r>
      <w:r w:rsidRPr="00587663">
        <w:t xml:space="preserve"> that the ambiguity should be resolved against Highlander, but the court found that McDonald</w:t>
      </w:r>
      <w:r>
        <w:rPr>
          <w:b/>
        </w:rPr>
        <w:t>'</w:t>
      </w:r>
      <w:r w:rsidRPr="00587663">
        <w:t>s prepared the final version of the lease and that McDonald</w:t>
      </w:r>
      <w:r>
        <w:rPr>
          <w:b/>
        </w:rPr>
        <w:t>'</w:t>
      </w:r>
      <w:r w:rsidRPr="00587663">
        <w:t>s had never objected to the language.</w:t>
      </w:r>
      <w:r>
        <w:rPr>
          <w:b/>
        </w:rPr>
        <w:t xml:space="preserve">  </w:t>
      </w:r>
      <w:r w:rsidRPr="00587663">
        <w:t>(</w:t>
      </w:r>
      <w:r w:rsidRPr="00B81883">
        <w:rPr>
          <w:i/>
          <w:iCs/>
        </w:rPr>
        <w:t>Id</w:t>
      </w:r>
      <w:r w:rsidRPr="00587663">
        <w:t>. at 271.)</w:t>
      </w:r>
      <w:r>
        <w:rPr>
          <w:b/>
        </w:rPr>
        <w:t xml:space="preserve">  </w:t>
      </w:r>
      <w:r w:rsidRPr="00587663">
        <w:t>(The court noted that McDonald</w:t>
      </w:r>
      <w:r>
        <w:rPr>
          <w:b/>
        </w:rPr>
        <w:t>'</w:t>
      </w:r>
      <w:r w:rsidRPr="00587663">
        <w:t>s failed to call any of its own witnesses to the 1993 lease negotiations despite their availability.</w:t>
      </w:r>
      <w:r>
        <w:rPr>
          <w:b/>
        </w:rPr>
        <w:t xml:space="preserve">  </w:t>
      </w:r>
      <w:r w:rsidRPr="00587663">
        <w:t>(</w:t>
      </w:r>
      <w:r w:rsidRPr="00B81883">
        <w:rPr>
          <w:i/>
          <w:iCs/>
        </w:rPr>
        <w:t>Id</w:t>
      </w:r>
      <w:r w:rsidRPr="00587663">
        <w:t>. at 272.))</w:t>
      </w:r>
      <w:r>
        <w:rPr>
          <w:b/>
        </w:rPr>
        <w:t xml:space="preserve">  </w:t>
      </w:r>
      <w:r w:rsidRPr="00587663">
        <w:t xml:space="preserve">Finally, the court found that the traditional legal doctrine of narrowly interpreting restrictive covenants added further support to the conclusion that the covenant here barred only </w:t>
      </w:r>
      <w:r>
        <w:rPr>
          <w:b/>
        </w:rPr>
        <w:t>"</w:t>
      </w:r>
      <w:r w:rsidRPr="00587663">
        <w:t>fast food</w:t>
      </w:r>
      <w:r>
        <w:rPr>
          <w:b/>
        </w:rPr>
        <w:t>"</w:t>
      </w:r>
      <w:r w:rsidRPr="00587663">
        <w:t xml:space="preserve"> restaurants and not </w:t>
      </w:r>
      <w:r>
        <w:rPr>
          <w:b/>
        </w:rPr>
        <w:t>"</w:t>
      </w:r>
      <w:r w:rsidRPr="00587663">
        <w:t>all</w:t>
      </w:r>
      <w:r>
        <w:rPr>
          <w:b/>
        </w:rPr>
        <w:t>"</w:t>
      </w:r>
      <w:r w:rsidRPr="00587663">
        <w:t xml:space="preserve"> restaurants.</w:t>
      </w:r>
      <w:r>
        <w:rPr>
          <w:b/>
        </w:rPr>
        <w:t xml:space="preserve">  </w:t>
      </w:r>
      <w:r w:rsidRPr="00587663">
        <w:t>(</w:t>
      </w:r>
      <w:r w:rsidRPr="00B81883">
        <w:rPr>
          <w:i/>
          <w:iCs/>
        </w:rPr>
        <w:t>Id</w:t>
      </w:r>
      <w:r w:rsidRPr="00587663">
        <w:t>. at 274.)</w:t>
      </w:r>
    </w:p>
    <w:p w:rsidR="008F5BA3" w:rsidRDefault="008F5BA3" w:rsidP="00FD2844">
      <w:pPr>
        <w:pStyle w:val="Body"/>
        <w:rPr>
          <w:b/>
        </w:rPr>
      </w:pPr>
      <w:r w:rsidRPr="00587663">
        <w:t>McDonald</w:t>
      </w:r>
      <w:r>
        <w:rPr>
          <w:b/>
        </w:rPr>
        <w:t>'</w:t>
      </w:r>
      <w:r w:rsidRPr="00587663">
        <w:t xml:space="preserve">s alternative theory of the case was that </w:t>
      </w:r>
      <w:r w:rsidRPr="00404F91">
        <w:rPr>
          <w:b/>
        </w:rPr>
        <w:t>the recorded version of the restrictive covenant</w:t>
      </w:r>
      <w:r w:rsidRPr="00587663">
        <w:t xml:space="preserve">, signed and filed several months </w:t>
      </w:r>
      <w:r w:rsidRPr="00404F91">
        <w:rPr>
          <w:b/>
        </w:rPr>
        <w:t xml:space="preserve">after </w:t>
      </w:r>
      <w:r w:rsidRPr="00587663">
        <w:t xml:space="preserve">the lease execution, and which did </w:t>
      </w:r>
      <w:r w:rsidRPr="00404F91">
        <w:rPr>
          <w:b/>
        </w:rPr>
        <w:t>not</w:t>
      </w:r>
      <w:r w:rsidRPr="00587663">
        <w:t xml:space="preserve"> contain the words </w:t>
      </w:r>
      <w:r>
        <w:rPr>
          <w:b/>
        </w:rPr>
        <w:t>"</w:t>
      </w:r>
      <w:r w:rsidRPr="00587663">
        <w:t>so-called fast food</w:t>
      </w:r>
      <w:r>
        <w:rPr>
          <w:b/>
        </w:rPr>
        <w:t>"</w:t>
      </w:r>
      <w:r w:rsidRPr="00587663">
        <w:t>, should be controlling.</w:t>
      </w:r>
      <w:r>
        <w:rPr>
          <w:b/>
        </w:rPr>
        <w:t xml:space="preserve">  </w:t>
      </w:r>
      <w:r w:rsidRPr="00587663">
        <w:t>(</w:t>
      </w:r>
      <w:r w:rsidRPr="00B81883">
        <w:rPr>
          <w:i/>
          <w:iCs/>
        </w:rPr>
        <w:t>Id</w:t>
      </w:r>
      <w:r w:rsidRPr="00587663">
        <w:t>. at 272.)</w:t>
      </w:r>
      <w:r>
        <w:rPr>
          <w:b/>
        </w:rPr>
        <w:t xml:space="preserve">  </w:t>
      </w:r>
      <w:r w:rsidRPr="00587663">
        <w:t>McDonald</w:t>
      </w:r>
      <w:r>
        <w:rPr>
          <w:b/>
        </w:rPr>
        <w:t>'</w:t>
      </w:r>
      <w:r w:rsidRPr="00587663">
        <w:t xml:space="preserve">s argued that the recorded covenant was the </w:t>
      </w:r>
      <w:r>
        <w:rPr>
          <w:b/>
        </w:rPr>
        <w:t>"</w:t>
      </w:r>
      <w:r w:rsidRPr="00587663">
        <w:t>only contemporaneous writing that exists to evidence the parties</w:t>
      </w:r>
      <w:r>
        <w:rPr>
          <w:b/>
        </w:rPr>
        <w:t>'</w:t>
      </w:r>
      <w:r w:rsidRPr="00587663">
        <w:t xml:space="preserve"> intent</w:t>
      </w:r>
      <w:r>
        <w:rPr>
          <w:b/>
        </w:rPr>
        <w:t>"</w:t>
      </w:r>
      <w:r w:rsidRPr="00587663">
        <w:t>.</w:t>
      </w:r>
      <w:r>
        <w:rPr>
          <w:b/>
        </w:rPr>
        <w:t xml:space="preserve">  </w:t>
      </w:r>
      <w:r w:rsidRPr="00587663">
        <w:t>(</w:t>
      </w:r>
      <w:r w:rsidRPr="00B81883">
        <w:rPr>
          <w:i/>
          <w:iCs/>
        </w:rPr>
        <w:t>Id</w:t>
      </w:r>
      <w:r w:rsidRPr="00587663">
        <w:t>.)</w:t>
      </w:r>
      <w:r>
        <w:rPr>
          <w:b/>
        </w:rPr>
        <w:t xml:space="preserve">  </w:t>
      </w:r>
      <w:r w:rsidRPr="00587663">
        <w:t xml:space="preserve"> First, in dicta, the court noted that Highlander</w:t>
      </w:r>
      <w:r>
        <w:rPr>
          <w:b/>
        </w:rPr>
        <w:t>'</w:t>
      </w:r>
      <w:r w:rsidRPr="00587663">
        <w:t>s counsel did not review the document before it was signed.</w:t>
      </w:r>
      <w:r>
        <w:rPr>
          <w:b/>
        </w:rPr>
        <w:t xml:space="preserve">  </w:t>
      </w:r>
      <w:r w:rsidRPr="00587663">
        <w:t>(</w:t>
      </w:r>
      <w:r w:rsidRPr="00B81883">
        <w:rPr>
          <w:i/>
          <w:iCs/>
        </w:rPr>
        <w:t>Id</w:t>
      </w:r>
      <w:r w:rsidRPr="00587663">
        <w:t>. at 266 fn. 6.)</w:t>
      </w:r>
      <w:r>
        <w:rPr>
          <w:b/>
        </w:rPr>
        <w:t xml:space="preserve">  </w:t>
      </w:r>
      <w:r w:rsidRPr="00587663">
        <w:t>The court also noted again McDonald</w:t>
      </w:r>
      <w:r>
        <w:rPr>
          <w:b/>
        </w:rPr>
        <w:t>'</w:t>
      </w:r>
      <w:r w:rsidRPr="00587663">
        <w:t>s failure at trial to offer any witnesses to counter Highlander</w:t>
      </w:r>
      <w:r>
        <w:rPr>
          <w:b/>
        </w:rPr>
        <w:t>'</w:t>
      </w:r>
      <w:r w:rsidRPr="00587663">
        <w:t>s evidence that that the lease, not the recorded covenant, demonstrated the true intent of the parties.</w:t>
      </w:r>
      <w:r>
        <w:rPr>
          <w:b/>
        </w:rPr>
        <w:t xml:space="preserve">  </w:t>
      </w:r>
      <w:r w:rsidRPr="00587663">
        <w:t>(</w:t>
      </w:r>
      <w:r w:rsidRPr="00B81883">
        <w:rPr>
          <w:i/>
          <w:iCs/>
        </w:rPr>
        <w:t>Id</w:t>
      </w:r>
      <w:r w:rsidRPr="00587663">
        <w:t>. at 272.)</w:t>
      </w:r>
      <w:r>
        <w:rPr>
          <w:b/>
        </w:rPr>
        <w:t xml:space="preserve">  </w:t>
      </w:r>
      <w:r w:rsidRPr="00587663">
        <w:t xml:space="preserve">The court held that the recorded covenant was </w:t>
      </w:r>
      <w:r>
        <w:rPr>
          <w:b/>
        </w:rPr>
        <w:t>"</w:t>
      </w:r>
      <w:r w:rsidRPr="00587663">
        <w:t>of limited probative value because it was recorded ten months after the fact, does not accurately reflect the final lease language and is not the operative document in this case</w:t>
      </w:r>
      <w:r>
        <w:rPr>
          <w:b/>
        </w:rPr>
        <w:t>"</w:t>
      </w:r>
      <w:r w:rsidRPr="00587663">
        <w:t>.</w:t>
      </w:r>
      <w:r>
        <w:rPr>
          <w:b/>
        </w:rPr>
        <w:t xml:space="preserve">  </w:t>
      </w:r>
      <w:r w:rsidRPr="00587663">
        <w:t>(</w:t>
      </w:r>
      <w:r w:rsidRPr="00B81883">
        <w:rPr>
          <w:i/>
          <w:iCs/>
        </w:rPr>
        <w:t>Id</w:t>
      </w:r>
      <w:r w:rsidRPr="00587663">
        <w:t>.)</w:t>
      </w:r>
    </w:p>
    <w:p w:rsidR="008F5BA3" w:rsidRDefault="008F5BA3" w:rsidP="00FD2844">
      <w:pPr>
        <w:pStyle w:val="Heading2"/>
      </w:pPr>
      <w:r w:rsidRPr="00673BA6">
        <w:t>Practice Pointers</w:t>
      </w:r>
    </w:p>
    <w:p w:rsidR="008F5BA3" w:rsidRDefault="008F5BA3" w:rsidP="00FD2844">
      <w:pPr>
        <w:pStyle w:val="Body"/>
        <w:rPr>
          <w:b/>
        </w:rPr>
      </w:pPr>
      <w:r w:rsidRPr="00587663">
        <w:t>Remember the legal doctrines that favor narrow construction of restrictive covenants and that resolve ambiguities against the author, but also be sure to document the intent of the parties.</w:t>
      </w:r>
    </w:p>
    <w:p w:rsidR="008F5BA3" w:rsidRDefault="008F5BA3" w:rsidP="00FD2844">
      <w:pPr>
        <w:pStyle w:val="Body"/>
      </w:pPr>
      <w:r w:rsidRPr="00587663">
        <w:t>Remember to check for any deviations of language between documents.</w:t>
      </w:r>
      <w:r>
        <w:rPr>
          <w:b/>
        </w:rPr>
        <w:t xml:space="preserve">  </w:t>
      </w:r>
      <w:r w:rsidRPr="00587663">
        <w:t xml:space="preserve">This case would have been </w:t>
      </w:r>
      <w:r w:rsidRPr="00404F91">
        <w:rPr>
          <w:b/>
        </w:rPr>
        <w:t>far worse for Highlander</w:t>
      </w:r>
      <w:r w:rsidRPr="00587663">
        <w:t xml:space="preserve"> if it had been a </w:t>
      </w:r>
      <w:r w:rsidRPr="00404F91">
        <w:rPr>
          <w:b/>
        </w:rPr>
        <w:t>third-party</w:t>
      </w:r>
      <w:r w:rsidRPr="00587663">
        <w:t xml:space="preserve"> rather than the lessee, McDonald</w:t>
      </w:r>
      <w:r>
        <w:rPr>
          <w:b/>
        </w:rPr>
        <w:t>'</w:t>
      </w:r>
      <w:r w:rsidRPr="00587663">
        <w:t xml:space="preserve">s, who was claiming to act in reliance on the recorded covenant that lacked the </w:t>
      </w:r>
      <w:r>
        <w:rPr>
          <w:b/>
        </w:rPr>
        <w:t>"</w:t>
      </w:r>
      <w:r w:rsidRPr="00587663">
        <w:t>so-called</w:t>
      </w:r>
      <w:r>
        <w:rPr>
          <w:b/>
        </w:rPr>
        <w:t>"</w:t>
      </w:r>
      <w:r w:rsidRPr="00587663">
        <w:t xml:space="preserve">  fast food language.</w:t>
      </w:r>
    </w:p>
    <w:p w:rsidR="008F5BA3" w:rsidRDefault="008F5BA3" w:rsidP="00FD2844">
      <w:pPr>
        <w:pStyle w:val="Heading2"/>
        <w:rPr>
          <w:u w:val="none"/>
        </w:rPr>
      </w:pPr>
      <w:r w:rsidRPr="00404F91">
        <w:t>Related Cases</w:t>
      </w:r>
      <w:r>
        <w:t xml:space="preserve"> and Materials</w:t>
      </w:r>
    </w:p>
    <w:p w:rsidR="008F5BA3" w:rsidRPr="009D2C76" w:rsidRDefault="008F5BA3" w:rsidP="00FD2844">
      <w:pPr>
        <w:pStyle w:val="BodyNumbered"/>
        <w:keepNext/>
        <w:numPr>
          <w:ilvl w:val="0"/>
          <w:numId w:val="42"/>
        </w:numPr>
        <w:ind w:left="0"/>
      </w:pPr>
      <w:r w:rsidRPr="00F94DA4">
        <w:rPr>
          <w:i/>
        </w:rPr>
        <w:t>See Harold Friedman, Inc.</w:t>
      </w:r>
      <w:r>
        <w:rPr>
          <w:i/>
        </w:rPr>
        <w:t xml:space="preserve"> v. </w:t>
      </w:r>
      <w:r w:rsidRPr="00F94DA4">
        <w:rPr>
          <w:i/>
        </w:rPr>
        <w:t>Thorofare Markets Inc.,</w:t>
      </w:r>
      <w:r w:rsidRPr="00F94DA4">
        <w:t xml:space="preserve"> 587 F.2d 127 (3d Cir. 1978) (reversing summary judgment and holding that exclusive use provision is not per se legal and that legality must be determined at trial under antitrust rule of reason standard).</w:t>
      </w:r>
    </w:p>
    <w:p w:rsidR="008F5BA3" w:rsidRPr="009D2C76" w:rsidRDefault="008F5BA3" w:rsidP="00FD2844">
      <w:pPr>
        <w:pStyle w:val="BodyNumbered"/>
        <w:keepNext/>
        <w:numPr>
          <w:ilvl w:val="0"/>
          <w:numId w:val="34"/>
        </w:numPr>
        <w:ind w:left="0"/>
      </w:pPr>
      <w:r w:rsidRPr="00F94DA4">
        <w:t xml:space="preserve">For a comprehensive discussion of exclusive use provisions, </w:t>
      </w:r>
      <w:r w:rsidRPr="00F94DA4">
        <w:rPr>
          <w:i/>
        </w:rPr>
        <w:t>see Friedman on Leases,</w:t>
      </w:r>
      <w:r w:rsidRPr="00F94DA4">
        <w:t xml:space="preserve"> Cha</w:t>
      </w:r>
      <w:r>
        <w:t>pter </w:t>
      </w:r>
      <w:r w:rsidRPr="00F94DA4">
        <w:t>28.</w:t>
      </w:r>
    </w:p>
    <w:p w:rsidR="008F5BA3" w:rsidRDefault="008F5BA3" w:rsidP="00FD2844">
      <w:pPr>
        <w:pStyle w:val="Heading1"/>
      </w:pPr>
      <w:bookmarkStart w:id="7" w:name="_Toc330293788"/>
      <w:r w:rsidRPr="00172AA2">
        <w:t>Best Efforts Means</w:t>
      </w:r>
      <w:r>
        <w:t xml:space="preserve"> . . .</w:t>
      </w:r>
      <w:r w:rsidRPr="00172AA2">
        <w:t xml:space="preserve"> Well, this Court Tells Us What it Does NOT Mean</w:t>
      </w:r>
      <w:bookmarkEnd w:id="7"/>
    </w:p>
    <w:p w:rsidR="008F5BA3" w:rsidRDefault="008F5BA3" w:rsidP="00FD2844">
      <w:pPr>
        <w:pStyle w:val="Body"/>
      </w:pPr>
      <w:r w:rsidRPr="00172AA2">
        <w:rPr>
          <w:u w:val="single"/>
        </w:rPr>
        <w:t>Holding</w:t>
      </w:r>
      <w:r>
        <w:t xml:space="preserve">:  </w:t>
      </w:r>
      <w:r w:rsidRPr="00172AA2">
        <w:rPr>
          <w:b/>
        </w:rPr>
        <w:t xml:space="preserve">When the contract does not define the phrase </w:t>
      </w:r>
      <w:r>
        <w:rPr>
          <w:b/>
        </w:rPr>
        <w:t>"</w:t>
      </w:r>
      <w:r w:rsidRPr="00172AA2">
        <w:rPr>
          <w:b/>
        </w:rPr>
        <w:t>best efforts,</w:t>
      </w:r>
      <w:r>
        <w:rPr>
          <w:b/>
        </w:rPr>
        <w:t>"</w:t>
      </w:r>
      <w:r w:rsidRPr="00172AA2">
        <w:rPr>
          <w:b/>
        </w:rPr>
        <w:t xml:space="preserve"> the promisor must use the diligence of a reasonable person under comparable circumstances, not the diligence required of a fiduciary.  </w:t>
      </w:r>
      <w:r w:rsidRPr="00172AA2">
        <w:rPr>
          <w:i/>
        </w:rPr>
        <w:t>California Pines Property Owners Association</w:t>
      </w:r>
      <w:r>
        <w:rPr>
          <w:i/>
        </w:rPr>
        <w:t xml:space="preserve"> v. </w:t>
      </w:r>
      <w:r w:rsidRPr="00172AA2">
        <w:rPr>
          <w:i/>
        </w:rPr>
        <w:t>Robert Pedotti</w:t>
      </w:r>
      <w:r>
        <w:t>, 2012 Cal.App. LEXIS 626 (2012).</w:t>
      </w:r>
    </w:p>
    <w:p w:rsidR="008F5BA3" w:rsidRDefault="008F5BA3" w:rsidP="00FD2844">
      <w:pPr>
        <w:pStyle w:val="Body"/>
      </w:pPr>
      <w:r w:rsidRPr="00172AA2">
        <w:rPr>
          <w:u w:val="single"/>
        </w:rPr>
        <w:t>Discussion</w:t>
      </w:r>
      <w:r>
        <w:t>:  Plaintiff was a property owners association and the defendant was the owner of a nearby working ranch.  Plaintiff and defendant were parties to a water storage agreement.  Under that agreement, defendant had the right to use water from the subject reservoir for use on his ranch, but "he must use 'best efforts' to maintain a full (R)eservoir, subject to natural conditions beyond (his) control." The water storage agreement did not define "best efforts."  Plaintiff contended the term meant "the efforts required of a fiduciary."</w:t>
      </w:r>
    </w:p>
    <w:p w:rsidR="008F5BA3" w:rsidRDefault="008F5BA3" w:rsidP="00FD2844">
      <w:pPr>
        <w:pStyle w:val="Body"/>
      </w:pPr>
      <w:r>
        <w:t>There was testimony by an expert witness for the defendant that the defendant was a knowledgeable rancher skilled in the practice of irrigating his property and that he was an "efficient" and "proficient" irrigator.  However, this expert did note that the irrigation system used (an open ditch irrigation system), while common in the area, was not the most efficient system possible.  Rather, an enclosed pipe system with a mechanical, central pivoting sprinkler would be more efficient.  However, the expert did not recommend this enclosed pipe system for defendant's ranch because of the large cost of the system and the relatively small size of the defendant's operations.</w:t>
      </w:r>
    </w:p>
    <w:p w:rsidR="008F5BA3" w:rsidRDefault="008F5BA3" w:rsidP="00FD2844">
      <w:pPr>
        <w:pStyle w:val="Body"/>
      </w:pPr>
      <w:r>
        <w:t>Plaintiff's position was that the duty of best efforts was "akin to the duty owed by a fiduciary and require(d) more than usual or reasonably diligent efforts."  The plaintiff further contended the term "best efforts" required the defendant to put plaintiff's interests above his own.  The Court disagreed.</w:t>
      </w:r>
    </w:p>
    <w:p w:rsidR="008F5BA3" w:rsidRDefault="008F5BA3" w:rsidP="00FD2844">
      <w:pPr>
        <w:pStyle w:val="Body"/>
      </w:pPr>
      <w:r>
        <w:t>The Court cited cases from IL and NY in its support of the well held position that the term "best efforts" alone does not create a fiduciary relationships between the parties.  The Court also cited Farnsworth on Contracts (3d ed. 2004) - [</w:t>
      </w:r>
      <w:r w:rsidRPr="00172AA2">
        <w:rPr>
          <w:i/>
        </w:rPr>
        <w:t xml:space="preserve">best efforts </w:t>
      </w:r>
      <w:r>
        <w:rPr>
          <w:i/>
        </w:rPr>
        <w:t>"</w:t>
      </w:r>
      <w:r w:rsidRPr="00172AA2">
        <w:rPr>
          <w:i/>
        </w:rPr>
        <w:t xml:space="preserve">presumably falls short of the standard required of a fiduciary who is required </w:t>
      </w:r>
      <w:r>
        <w:rPr>
          <w:i/>
        </w:rPr>
        <w:t>'</w:t>
      </w:r>
      <w:r w:rsidRPr="00172AA2">
        <w:rPr>
          <w:i/>
        </w:rPr>
        <w:t>to act primarily for the benefit of another in matters connected with his undertaking</w:t>
      </w:r>
      <w:r>
        <w:t>'"].</w:t>
      </w:r>
      <w:r w:rsidRPr="00172AA2">
        <w:rPr>
          <w:i/>
        </w:rPr>
        <w:t xml:space="preserve"> </w:t>
      </w:r>
      <w:r>
        <w:t xml:space="preserve"> The Court did acknowledge that California courts </w:t>
      </w:r>
      <w:r w:rsidRPr="00172AA2">
        <w:rPr>
          <w:b/>
        </w:rPr>
        <w:t xml:space="preserve">have </w:t>
      </w:r>
      <w:r>
        <w:t>enforced best efforts contracts, but noted those courts have not defined the term "best efforts."  The Court goes on to state the term must be construed in the context of the circumstances of the case at hand and notes, the term "cannot be defined in terms of a fixed formula . . . but varies with the facts and field of law involved."</w:t>
      </w:r>
    </w:p>
    <w:p w:rsidR="008F5BA3" w:rsidRDefault="008F5BA3" w:rsidP="00FD2844">
      <w:pPr>
        <w:pStyle w:val="Body"/>
      </w:pPr>
      <w:r>
        <w:t>These last few assertions would seem to open the door for the argument that "best efforts" means some type of a heightened standard, but in the Court's analysis of the several cases the Plaintiff offered in support of its case, the Court notes (i) when the phrase is not defined, courts will apply a "reasonable" tests; (ii) best efforts does not mean "every conceivable efforts," and (iii) does not require the "promisor to ignore its own interests, spend itself into bankruptcy, or incur substantial losses to perform its contractual obligations." In the end, the Court rejects the Plaintiff's assertions of a heightened standard of the meaning of "best efforts" alone.  The Court's main conclusion is that the term best efforts alone will not create a fiduciary duty between the parties.</w:t>
      </w:r>
    </w:p>
    <w:p w:rsidR="008F5BA3" w:rsidRDefault="008F5BA3" w:rsidP="00FD2844">
      <w:pPr>
        <w:pStyle w:val="Heading2"/>
      </w:pPr>
      <w:r>
        <w:t>Practice Pointers</w:t>
      </w:r>
    </w:p>
    <w:p w:rsidR="008F5BA3" w:rsidRDefault="008F5BA3" w:rsidP="00FD2844">
      <w:pPr>
        <w:pStyle w:val="Body"/>
      </w:pPr>
      <w:r>
        <w:t xml:space="preserve">Many moons ago, the fear of God was instilled in me that the term "best efforts" would require my client to go to ends of the earth to satisfy this obligation.  As such, I struck it at every turn (or required it depending on the strength of my position in the negotiations!) and would replace with "commercially reasonable," or "reasonable" efforts.  Over time, I began to question whether courts indeed would require such an exacting obligation when the term was used.  I gained a comfort level they would not and in an effort to satisfy my clients' desire to "not over lawyer the document" and to stick to the "must-haves," "show-stoppers," and "deal-breakers," I stopped striking "best efforts."  The case at hand has re-affirmed my position here.  The case cites NY and IL cases as also supporting, in the absent of guidelines in the agreement, equating the term "best efforts" with "reasonable" efforts.   In an excellent CLE lead by Stafford Matthews of SNR Denton (San Francisco office), his materials noted, "in many jurisdictions, including Illinois (where the class was taught), 'best efforts clauses can be held to be illusory and unenforceable unless subject to measurable performance guidelines'" (citing, </w:t>
      </w:r>
      <w:r w:rsidRPr="00172AA2">
        <w:rPr>
          <w:i/>
        </w:rPr>
        <w:t>Beraha</w:t>
      </w:r>
      <w:r>
        <w:rPr>
          <w:i/>
        </w:rPr>
        <w:t xml:space="preserve"> v. </w:t>
      </w:r>
      <w:r w:rsidRPr="00172AA2">
        <w:rPr>
          <w:i/>
        </w:rPr>
        <w:t>Baxter Health Care Corp.</w:t>
      </w:r>
      <w:r>
        <w:rPr>
          <w:iCs/>
        </w:rPr>
        <w:t>,</w:t>
      </w:r>
      <w:r>
        <w:t xml:space="preserve"> 956 F.2d 1436, 1440-41 (7th Cir. 1992), 1 Ill.App.3d 635, 639-640 (1971).  See </w:t>
      </w:r>
      <w:r w:rsidRPr="00172AA2">
        <w:rPr>
          <w:i/>
        </w:rPr>
        <w:t>Edinger</w:t>
      </w:r>
      <w:r>
        <w:rPr>
          <w:i/>
        </w:rPr>
        <w:t xml:space="preserve"> v. </w:t>
      </w:r>
      <w:r w:rsidRPr="00172AA2">
        <w:rPr>
          <w:i/>
        </w:rPr>
        <w:t>McData Serves Corp.</w:t>
      </w:r>
      <w:r>
        <w:t xml:space="preserve">, 646 F.3d 321, 327, (5th Cir. 2011); </w:t>
      </w:r>
      <w:r w:rsidRPr="00172AA2">
        <w:rPr>
          <w:i/>
        </w:rPr>
        <w:t>Hard Rock Café Int</w:t>
      </w:r>
      <w:r>
        <w:rPr>
          <w:i/>
        </w:rPr>
        <w:t>'</w:t>
      </w:r>
      <w:r w:rsidRPr="00172AA2">
        <w:rPr>
          <w:i/>
        </w:rPr>
        <w:t>l. (USA)</w:t>
      </w:r>
      <w:r>
        <w:rPr>
          <w:i/>
        </w:rPr>
        <w:t xml:space="preserve"> v. </w:t>
      </w:r>
      <w:r w:rsidRPr="00172AA2">
        <w:rPr>
          <w:i/>
        </w:rPr>
        <w:t>Hard Rock Hotel Holdings, LLC (2011)</w:t>
      </w:r>
      <w:r>
        <w:rPr>
          <w:iCs/>
        </w:rPr>
        <w:t>,</w:t>
      </w:r>
      <w:r w:rsidRPr="00172AA2">
        <w:rPr>
          <w:i/>
        </w:rPr>
        <w:t xml:space="preserve"> </w:t>
      </w:r>
      <w:r>
        <w:t>U.S Dist. LEXIS 76897 (S.D. N.Y., July 11, 2011) (New York)).</w:t>
      </w:r>
    </w:p>
    <w:p w:rsidR="008F5BA3" w:rsidRDefault="008F5BA3" w:rsidP="00FD2844">
      <w:pPr>
        <w:pStyle w:val="Body"/>
      </w:pPr>
      <w:r>
        <w:t>If counseling a party truly seeking a fiduciary relationship to be established between the parties or to have specific performance guidelines to be met, the agreement should clearly state as such.  A party should not rely on the simple insertion of "best efforts" to give rise to either standard.</w:t>
      </w:r>
    </w:p>
    <w:p w:rsidR="008F5BA3" w:rsidRPr="00D82F65" w:rsidRDefault="008F5BA3" w:rsidP="000B4E33">
      <w:pPr>
        <w:pStyle w:val="Heading1"/>
        <w:rPr>
          <w:b w:val="0"/>
        </w:rPr>
      </w:pPr>
      <w:bookmarkStart w:id="8" w:name="_Toc330293789"/>
      <w:r w:rsidRPr="00D82F65">
        <w:t>Attorney</w:t>
      </w:r>
      <w:r>
        <w:rPr>
          <w:b w:val="0"/>
        </w:rPr>
        <w:t>'</w:t>
      </w:r>
      <w:r w:rsidRPr="00D82F65">
        <w:t>s Fees Provisions</w:t>
      </w:r>
      <w:bookmarkEnd w:id="8"/>
    </w:p>
    <w:p w:rsidR="008F5BA3" w:rsidRPr="00B46788" w:rsidRDefault="008F5BA3" w:rsidP="000B4E33">
      <w:pPr>
        <w:pStyle w:val="Body"/>
        <w:rPr>
          <w:i/>
        </w:rPr>
      </w:pPr>
      <w:r w:rsidRPr="00B43AA1">
        <w:rPr>
          <w:u w:val="single"/>
        </w:rPr>
        <w:t>Holding</w:t>
      </w:r>
      <w:r>
        <w:t xml:space="preserve">:  </w:t>
      </w:r>
      <w:r>
        <w:rPr>
          <w:i/>
        </w:rPr>
        <w:t xml:space="preserve">Compare </w:t>
      </w:r>
      <w:r w:rsidRPr="00B43AA1">
        <w:rPr>
          <w:i/>
        </w:rPr>
        <w:t>Xuereb</w:t>
      </w:r>
      <w:r>
        <w:rPr>
          <w:i/>
        </w:rPr>
        <w:t xml:space="preserve"> v. </w:t>
      </w:r>
      <w:r w:rsidRPr="00B43AA1">
        <w:rPr>
          <w:i/>
        </w:rPr>
        <w:t>Marcus &amp; Millichap, Inc.</w:t>
      </w:r>
      <w:r>
        <w:t>, 3 Cal.App.</w:t>
      </w:r>
      <w:r w:rsidRPr="006D6ABF">
        <w:t>4th 1338 (1992)</w:t>
      </w:r>
      <w:r>
        <w:t xml:space="preserve"> (broad attorneys' fees provision applicable to lawsuits arising out of purchase agreement applies to tort actions) </w:t>
      </w:r>
      <w:r>
        <w:rPr>
          <w:i/>
        </w:rPr>
        <w:t xml:space="preserve">with </w:t>
      </w:r>
      <w:r w:rsidRPr="00B46788">
        <w:rPr>
          <w:i/>
        </w:rPr>
        <w:t>Hasler</w:t>
      </w:r>
      <w:r>
        <w:rPr>
          <w:i/>
        </w:rPr>
        <w:t xml:space="preserve"> v. </w:t>
      </w:r>
      <w:r w:rsidRPr="00B46788">
        <w:rPr>
          <w:i/>
        </w:rPr>
        <w:t>Howard</w:t>
      </w:r>
      <w:r>
        <w:t>, 120 Cal.</w:t>
      </w:r>
      <w:r w:rsidRPr="00B46788">
        <w:t>App.4th 1023 (2004)</w:t>
      </w:r>
      <w:r>
        <w:t xml:space="preserve"> (narrow attorneys' fees provision applicable to action regarding the obligation to pay compensation does not apply to tort action).</w:t>
      </w:r>
    </w:p>
    <w:p w:rsidR="008F5BA3" w:rsidRDefault="008F5BA3" w:rsidP="000B4E33">
      <w:pPr>
        <w:pStyle w:val="Body"/>
      </w:pPr>
      <w:r w:rsidRPr="006D6ABF">
        <w:rPr>
          <w:u w:val="single"/>
        </w:rPr>
        <w:t>Discussion</w:t>
      </w:r>
      <w:r>
        <w:t xml:space="preserve">:  In </w:t>
      </w:r>
      <w:r>
        <w:rPr>
          <w:i/>
        </w:rPr>
        <w:t>Xuereb,</w:t>
      </w:r>
      <w:r>
        <w:t xml:space="preserve"> a purchase agreement contained the following provision:  "Attorneys' Fees:  If this Agreement gives rise to a lawsuit or other legal proceeding between any of the parties hereto, including Agent, the prevailing party shall be entitled to recover actual court costs and reasonable attorneys' fees in addition to any other relief to which such party may be entitled."  The court held that this provision applied to tort actions, not just contract actions.</w:t>
      </w:r>
    </w:p>
    <w:p w:rsidR="008F5BA3" w:rsidRPr="00B46788" w:rsidRDefault="008F5BA3" w:rsidP="000B4E33">
      <w:pPr>
        <w:pStyle w:val="Body"/>
      </w:pPr>
      <w:r>
        <w:t xml:space="preserve">By contrast, in </w:t>
      </w:r>
      <w:r>
        <w:rPr>
          <w:i/>
        </w:rPr>
        <w:t>Hasler,</w:t>
      </w:r>
      <w:r w:rsidRPr="00B46788">
        <w:t xml:space="preserve"> a provision in</w:t>
      </w:r>
      <w:r>
        <w:t xml:space="preserve"> </w:t>
      </w:r>
      <w:r w:rsidRPr="00B46788">
        <w:t>the listing agreement that stated</w:t>
      </w:r>
      <w:r>
        <w:t>:  "</w:t>
      </w:r>
      <w:r w:rsidRPr="00B46788">
        <w:t>In any action,</w:t>
      </w:r>
      <w:r>
        <w:t xml:space="preserve"> </w:t>
      </w:r>
      <w:r w:rsidRPr="00B46788">
        <w:t>proceeding, or arbitration between Seller and Broker</w:t>
      </w:r>
      <w:r>
        <w:t xml:space="preserve"> </w:t>
      </w:r>
      <w:r w:rsidRPr="00B46788">
        <w:t>regarding the obligation to pay compensation under this</w:t>
      </w:r>
      <w:r>
        <w:t xml:space="preserve"> </w:t>
      </w:r>
      <w:r w:rsidRPr="00B46788">
        <w:t>Agreement, the prevailing Seller or Broker shall</w:t>
      </w:r>
      <w:r>
        <w:t xml:space="preserve"> </w:t>
      </w:r>
      <w:r w:rsidRPr="00B46788">
        <w:t>be entitled to reasonabl</w:t>
      </w:r>
      <w:r>
        <w:t>e attorney's fees and costs. . . ."  The court held that this provision did not apply to tort actions.</w:t>
      </w:r>
    </w:p>
    <w:p w:rsidR="008F5BA3" w:rsidRPr="006B54EB" w:rsidRDefault="008F5BA3" w:rsidP="000B4E33">
      <w:pPr>
        <w:pStyle w:val="Heading2"/>
      </w:pPr>
      <w:r w:rsidRPr="006B54EB">
        <w:t>Practice Pointer</w:t>
      </w:r>
    </w:p>
    <w:p w:rsidR="008F5BA3" w:rsidRDefault="008F5BA3" w:rsidP="000B4E33">
      <w:pPr>
        <w:pStyle w:val="Body"/>
      </w:pPr>
      <w:r>
        <w:t>Consider whether you want your attorneys' fees provision to be broad, and apply to torts, or be narrow, and be limited to contract actions.  Factors to consider may include whether, if the kind of events likely to give rise to litigation ensue, the opposing party is likely to still be financially viable and able to pay such fees in addition to whatever other relief may be awarded.</w:t>
      </w:r>
    </w:p>
    <w:p w:rsidR="008F5BA3" w:rsidRPr="00B81883" w:rsidRDefault="008F5BA3" w:rsidP="00072D2B">
      <w:pPr>
        <w:pStyle w:val="Heading1"/>
      </w:pPr>
      <w:bookmarkStart w:id="9" w:name="_Toc330293790"/>
      <w:r w:rsidRPr="00B81883">
        <w:t>Common Area Maintenance Expenses</w:t>
      </w:r>
      <w:bookmarkEnd w:id="9"/>
    </w:p>
    <w:p w:rsidR="008F5BA3" w:rsidRDefault="008F5BA3" w:rsidP="000B4E33">
      <w:pPr>
        <w:pStyle w:val="Body"/>
        <w:rPr>
          <w:b/>
        </w:rPr>
      </w:pPr>
      <w:r w:rsidRPr="00404F91">
        <w:rPr>
          <w:u w:val="single"/>
        </w:rPr>
        <w:t>Holding</w:t>
      </w:r>
      <w:r>
        <w:rPr>
          <w:b/>
        </w:rPr>
        <w:t xml:space="preserve">:  </w:t>
      </w:r>
      <w:r w:rsidRPr="00587663">
        <w:t xml:space="preserve">Where lease obligated tenant of shopping mall to pay proportionate share of cost of maintaining common areas and tenant sought itemized listing of maintenance expenses, landlord must render </w:t>
      </w:r>
      <w:r>
        <w:rPr>
          <w:b/>
        </w:rPr>
        <w:t>"</w:t>
      </w:r>
      <w:r w:rsidRPr="00587663">
        <w:t>an accounting</w:t>
      </w:r>
      <w:r>
        <w:rPr>
          <w:b/>
        </w:rPr>
        <w:t>"</w:t>
      </w:r>
      <w:r w:rsidRPr="00587663">
        <w:t xml:space="preserve"> to the appellant by providing an itemization as to category and amount of the actual costs within the annual common area maintenance assessment.  (</w:t>
      </w:r>
      <w:r w:rsidRPr="00404F91">
        <w:rPr>
          <w:i/>
        </w:rPr>
        <w:t>P.V. Properties, Inc.</w:t>
      </w:r>
      <w:r>
        <w:rPr>
          <w:i/>
        </w:rPr>
        <w:t xml:space="preserve"> v. </w:t>
      </w:r>
      <w:r w:rsidRPr="00404F91">
        <w:rPr>
          <w:i/>
        </w:rPr>
        <w:t>Rock Creek Vill. Associates Ltd. P</w:t>
      </w:r>
      <w:r>
        <w:rPr>
          <w:b/>
          <w:i/>
        </w:rPr>
        <w:t>'</w:t>
      </w:r>
      <w:r w:rsidRPr="00404F91">
        <w:rPr>
          <w:i/>
        </w:rPr>
        <w:t>ship</w:t>
      </w:r>
      <w:r w:rsidRPr="00587663">
        <w:t>, 77 Md. App. 77, 92 (1988).)</w:t>
      </w:r>
    </w:p>
    <w:p w:rsidR="008F5BA3" w:rsidRDefault="008F5BA3" w:rsidP="000B4E33">
      <w:pPr>
        <w:pStyle w:val="Body"/>
        <w:rPr>
          <w:b/>
        </w:rPr>
      </w:pPr>
      <w:r w:rsidRPr="00404F91">
        <w:rPr>
          <w:u w:val="single"/>
        </w:rPr>
        <w:t>Discussion</w:t>
      </w:r>
      <w:r>
        <w:rPr>
          <w:b/>
        </w:rPr>
        <w:t xml:space="preserve">:  </w:t>
      </w:r>
      <w:r w:rsidRPr="00587663">
        <w:t>Rock Creek (landlord) and P.V. (tenant) are successors to the June</w:t>
      </w:r>
      <w:r>
        <w:t> </w:t>
      </w:r>
      <w:r w:rsidRPr="00587663">
        <w:t xml:space="preserve">16, 1970 lease for a store in the Rock Creek Village Shopping Center. The lease requires the landlord to operate and maintain the common areas of the shopping center, and requires the tenant to reimburse the landlord on a pro rata basis for the costs incurred in maintaining the common areas. In January of each year the landlord must provide the tenant with a </w:t>
      </w:r>
      <w:r>
        <w:rPr>
          <w:b/>
        </w:rPr>
        <w:t>"</w:t>
      </w:r>
      <w:r w:rsidRPr="00404F91">
        <w:rPr>
          <w:b/>
        </w:rPr>
        <w:t>written statement setting forth the total actual costs</w:t>
      </w:r>
      <w:r>
        <w:rPr>
          <w:b/>
        </w:rPr>
        <w:t>"</w:t>
      </w:r>
      <w:r w:rsidRPr="00587663">
        <w:t xml:space="preserve"> for operating and maintaining the common areas in the preceding year. (77 Md. App. at 82). The bill for the common area charges for 1985 was significantly greater than what the previous landlord had charged for the same expenses for 1984. (</w:t>
      </w:r>
      <w:r w:rsidRPr="00B81883">
        <w:rPr>
          <w:i/>
          <w:iCs/>
        </w:rPr>
        <w:t>Id</w:t>
      </w:r>
      <w:r w:rsidRPr="00587663">
        <w:t>.).</w:t>
      </w:r>
    </w:p>
    <w:p w:rsidR="008F5BA3" w:rsidRDefault="008F5BA3" w:rsidP="000B4E33">
      <w:pPr>
        <w:pStyle w:val="Body"/>
        <w:rPr>
          <w:b/>
        </w:rPr>
      </w:pPr>
      <w:r w:rsidRPr="00587663">
        <w:t>The tenant filed an action for declaratory judgment, and sought alternative relief in the form of an accounting. The trial court denied both counts, ruling that the terms of the contract were clear, and did not require the landlord to provide an itemized listing. (</w:t>
      </w:r>
      <w:r w:rsidRPr="00B81883">
        <w:rPr>
          <w:i/>
          <w:iCs/>
        </w:rPr>
        <w:t>Id</w:t>
      </w:r>
      <w:r w:rsidRPr="00587663">
        <w:t>. at 80).</w:t>
      </w:r>
    </w:p>
    <w:p w:rsidR="008F5BA3" w:rsidRDefault="008F5BA3" w:rsidP="000B4E33">
      <w:pPr>
        <w:pStyle w:val="Body"/>
      </w:pPr>
      <w:r w:rsidRPr="00587663">
        <w:t>The Court of Special Appeals reversed the trial court</w:t>
      </w:r>
      <w:r>
        <w:rPr>
          <w:b/>
        </w:rPr>
        <w:t>'</w:t>
      </w:r>
      <w:r w:rsidRPr="00587663">
        <w:t>s finding, based on fundamental principles of contract construction. The Court of Special Appeals found that the landlord</w:t>
      </w:r>
      <w:r>
        <w:rPr>
          <w:b/>
        </w:rPr>
        <w:t>'</w:t>
      </w:r>
      <w:r w:rsidRPr="00587663">
        <w:t>s right to charge the tenant for common area expenses is specifically limited to expenses within the definition of common area expenses that the landlord actually incurred. (</w:t>
      </w:r>
      <w:r w:rsidRPr="00B81883">
        <w:rPr>
          <w:i/>
          <w:iCs/>
        </w:rPr>
        <w:t>Id</w:t>
      </w:r>
      <w:r w:rsidRPr="00587663">
        <w:t xml:space="preserve">. at 85). The terms of the lease, along with the requirement of a yearly written statement setting forth the </w:t>
      </w:r>
      <w:r>
        <w:rPr>
          <w:b/>
        </w:rPr>
        <w:t>"</w:t>
      </w:r>
      <w:r w:rsidRPr="00587663">
        <w:t>total actual costs</w:t>
      </w:r>
      <w:r>
        <w:rPr>
          <w:b/>
        </w:rPr>
        <w:t>"</w:t>
      </w:r>
      <w:r w:rsidRPr="00587663">
        <w:t xml:space="preserve"> incurred, imply the requirement to itemize in detail the various expenses incurred in common area. (</w:t>
      </w:r>
      <w:r w:rsidRPr="00B81883">
        <w:rPr>
          <w:i/>
          <w:iCs/>
        </w:rPr>
        <w:t>Id</w:t>
      </w:r>
      <w:r w:rsidRPr="00587663">
        <w:t>. at 86). Therefore, the Court held that the landlord is required to provide the tenant with an annual statement that outlines in detail the type and amount of each expense incurred. (</w:t>
      </w:r>
      <w:r w:rsidRPr="00B81883">
        <w:rPr>
          <w:i/>
          <w:iCs/>
        </w:rPr>
        <w:t>Id</w:t>
      </w:r>
      <w:r w:rsidRPr="00587663">
        <w:t>.).</w:t>
      </w:r>
    </w:p>
    <w:p w:rsidR="008F5BA3" w:rsidRDefault="008F5BA3" w:rsidP="000B4E33">
      <w:pPr>
        <w:pStyle w:val="Body"/>
      </w:pPr>
      <w:r w:rsidRPr="00866564">
        <w:rPr>
          <w:i/>
        </w:rPr>
        <w:t xml:space="preserve">P.V. Properties </w:t>
      </w:r>
      <w:r>
        <w:t xml:space="preserve">is often cited as supporting a proposition broader than its holding.  In that case, the tenant did not seek to conduct an audit, and the Maryland court did not hold that the tenant was entitled to conduct an audit.  The lease involved in that case stated that "Landlord will furnish to Tenant a written statement setting forth the </w:t>
      </w:r>
      <w:r>
        <w:rPr>
          <w:i/>
          <w:iCs/>
        </w:rPr>
        <w:t>total actual costs</w:t>
      </w:r>
      <w:r>
        <w:t xml:space="preserve"> incurred by the Landlord in operating and maintaining the common areas…."  The landlord contended that it only had to provide a single figure of its </w:t>
      </w:r>
      <w:r>
        <w:rPr>
          <w:i/>
        </w:rPr>
        <w:t>total actual costs</w:t>
      </w:r>
      <w:r>
        <w:t xml:space="preserve">.  The tenant only sought "an itemized list of the expenses incurred" rather than a single figure; the tenant did not seek a right to an audit or a right to review the supporting data.  Although the court broadly stated, "The obligation of good faith and cooperation implied in every contract gives rise to the implied requirement on the part of the landlord to disclose its cost data and the basis upon which the tenant's common area maintenance liability was computed," its holding was narrower:  "Thus, we hold that appellant was entitled to a declaratory judgment declaring that the lease requires the landlord to itemize the actual costs assessed against appellant </w:t>
      </w:r>
      <w:r w:rsidRPr="00011EE2">
        <w:rPr>
          <w:i/>
        </w:rPr>
        <w:t>as to category and amount</w:t>
      </w:r>
      <w:r>
        <w:t>."  (77 Md. App. at 88.  Emphasis added.)</w:t>
      </w:r>
    </w:p>
    <w:p w:rsidR="008F5BA3" w:rsidRDefault="008F5BA3" w:rsidP="000B4E33">
      <w:pPr>
        <w:pStyle w:val="Heading2"/>
        <w:rPr>
          <w:u w:val="none"/>
        </w:rPr>
      </w:pPr>
      <w:r w:rsidRPr="00404F91">
        <w:t>Practice Pointer</w:t>
      </w:r>
    </w:p>
    <w:p w:rsidR="008F5BA3" w:rsidRPr="00587663" w:rsidRDefault="008F5BA3" w:rsidP="000B4E33">
      <w:pPr>
        <w:pStyle w:val="Body"/>
      </w:pPr>
      <w:r w:rsidRPr="00587663">
        <w:t>Make your intentions clear if you want a landlord to provide an itemized listing of common area maintenance expenses.</w:t>
      </w:r>
    </w:p>
    <w:p w:rsidR="008F5BA3" w:rsidRPr="00B81883" w:rsidRDefault="008F5BA3" w:rsidP="000B4E33">
      <w:pPr>
        <w:pStyle w:val="Quote"/>
        <w:rPr>
          <w:b/>
          <w:i/>
          <w:iCs w:val="0"/>
        </w:rPr>
      </w:pPr>
      <w:r w:rsidRPr="00B81883">
        <w:rPr>
          <w:i/>
          <w:iCs w:val="0"/>
        </w:rPr>
        <w:t>Within ninety (90) days after the end of each calendar year, Landlord will furnish to Tenant a written statement setting forth the total actual costs, along with an itemized list detailing the various expenses, incurred by the Landlord in operating and maintaining the common areas during the preceding calendar year or portion thereof.</w:t>
      </w:r>
    </w:p>
    <w:p w:rsidR="008F5BA3" w:rsidRDefault="008F5BA3" w:rsidP="000B4E33">
      <w:pPr>
        <w:pStyle w:val="Heading2"/>
        <w:rPr>
          <w:u w:val="none"/>
        </w:rPr>
      </w:pPr>
      <w:r w:rsidRPr="00404F91">
        <w:t>Related Cases</w:t>
      </w:r>
    </w:p>
    <w:p w:rsidR="008F5BA3" w:rsidRPr="000B4E33" w:rsidRDefault="008F5BA3" w:rsidP="000B4E33">
      <w:pPr>
        <w:pStyle w:val="BodyNumbered"/>
        <w:keepNext/>
        <w:numPr>
          <w:ilvl w:val="0"/>
          <w:numId w:val="40"/>
        </w:numPr>
        <w:ind w:left="0"/>
        <w:rPr>
          <w:u w:val="single"/>
        </w:rPr>
      </w:pPr>
      <w:r w:rsidRPr="000B4E33">
        <w:rPr>
          <w:u w:val="single"/>
        </w:rPr>
        <w:t>Implied obligation of good faith</w:t>
      </w:r>
      <w:r>
        <w:t>.</w:t>
      </w:r>
    </w:p>
    <w:p w:rsidR="008F5BA3" w:rsidRDefault="008F5BA3" w:rsidP="000B4E33">
      <w:pPr>
        <w:pStyle w:val="Body"/>
        <w:rPr>
          <w:b/>
        </w:rPr>
      </w:pPr>
      <w:r w:rsidRPr="00587663">
        <w:t xml:space="preserve">In contract law, parties have a duty to act in good faith and deal fairly with each other. </w:t>
      </w:r>
      <w:r w:rsidRPr="00404F91">
        <w:rPr>
          <w:i/>
        </w:rPr>
        <w:t>Food Fair Stores, Inc.</w:t>
      </w:r>
      <w:r>
        <w:rPr>
          <w:i/>
        </w:rPr>
        <w:t xml:space="preserve"> v. </w:t>
      </w:r>
      <w:r w:rsidRPr="00404F91">
        <w:rPr>
          <w:i/>
        </w:rPr>
        <w:t>Blumberg</w:t>
      </w:r>
      <w:r w:rsidRPr="00587663">
        <w:t>, 234 Md. 521 (1964).</w:t>
      </w:r>
    </w:p>
    <w:p w:rsidR="008F5BA3" w:rsidRPr="00587663" w:rsidRDefault="008F5BA3" w:rsidP="000B4E33">
      <w:pPr>
        <w:pStyle w:val="Body"/>
      </w:pPr>
      <w:r w:rsidRPr="00587663">
        <w:t xml:space="preserve">In </w:t>
      </w:r>
      <w:r w:rsidRPr="00404F91">
        <w:rPr>
          <w:i/>
        </w:rPr>
        <w:t>Whitney</w:t>
      </w:r>
      <w:r>
        <w:rPr>
          <w:i/>
        </w:rPr>
        <w:t xml:space="preserve"> v. </w:t>
      </w:r>
      <w:r w:rsidRPr="00404F91">
        <w:rPr>
          <w:i/>
        </w:rPr>
        <w:t>Halibut, Inc.</w:t>
      </w:r>
      <w:r w:rsidRPr="00587663">
        <w:t>, the purchaser of a parcel of real estate agreed that in addition to the purchase price, it would pay the seller</w:t>
      </w:r>
      <w:r>
        <w:rPr>
          <w:b/>
        </w:rPr>
        <w:t>'</w:t>
      </w:r>
      <w:r w:rsidRPr="00587663">
        <w:t>s capital gain tax on the transaction. A dispute arose over the accuracy of the calculation of the seller</w:t>
      </w:r>
      <w:r>
        <w:rPr>
          <w:b/>
        </w:rPr>
        <w:t>'</w:t>
      </w:r>
      <w:r w:rsidRPr="00587663">
        <w:t>s basis and capital gain. The Court of Appeals held that there was an implied obligation for the seller to disclose the data underlying the calculation of the purchaser</w:t>
      </w:r>
      <w:r>
        <w:rPr>
          <w:b/>
        </w:rPr>
        <w:t>'</w:t>
      </w:r>
      <w:r w:rsidRPr="00587663">
        <w:t>s contractual liability.</w:t>
      </w:r>
    </w:p>
    <w:p w:rsidR="008F5BA3" w:rsidRPr="00587663" w:rsidRDefault="008F5BA3" w:rsidP="000B4E33">
      <w:pPr>
        <w:pStyle w:val="Quote"/>
      </w:pPr>
      <w:r w:rsidRPr="00587663">
        <w:t>[The seller] could not</w:t>
      </w:r>
      <w:r>
        <w:t xml:space="preserve"> . . .</w:t>
      </w:r>
      <w:r w:rsidRPr="00587663">
        <w:t xml:space="preserve"> merely sit back and take the position that [the purchaser] had to pay his entire capital gains tax in any event and furnish no proof as to cost. We think that he was also obligated to disclose to the vendee his cost data and the basis upon which his liability for the federal income tax on his capital gain was computed</w:t>
      </w:r>
      <w:r>
        <w:t xml:space="preserve">. . . . </w:t>
      </w:r>
      <w:r w:rsidRPr="00587663">
        <w:t xml:space="preserve"> It is, we think, clear that there may be implied obligations as well as express obligations under a contract.</w:t>
      </w:r>
    </w:p>
    <w:p w:rsidR="008F5BA3" w:rsidRDefault="008F5BA3" w:rsidP="000B4E33">
      <w:pPr>
        <w:pStyle w:val="FlushLeft"/>
        <w:rPr>
          <w:b/>
        </w:rPr>
      </w:pPr>
      <w:r w:rsidRPr="00404F91">
        <w:rPr>
          <w:i/>
        </w:rPr>
        <w:t>Whitney</w:t>
      </w:r>
      <w:r>
        <w:rPr>
          <w:i/>
        </w:rPr>
        <w:t xml:space="preserve"> v. </w:t>
      </w:r>
      <w:r w:rsidRPr="00404F91">
        <w:rPr>
          <w:i/>
        </w:rPr>
        <w:t>Halibut, Inc.</w:t>
      </w:r>
      <w:r w:rsidRPr="00587663">
        <w:t>, 235 Md. 517, 529-30 (1964).</w:t>
      </w:r>
    </w:p>
    <w:p w:rsidR="008F5BA3" w:rsidRDefault="008F5BA3" w:rsidP="000B4E33">
      <w:pPr>
        <w:pStyle w:val="Body"/>
        <w:rPr>
          <w:b/>
        </w:rPr>
      </w:pPr>
      <w:r w:rsidRPr="00587663">
        <w:t xml:space="preserve">The same implication applies in the </w:t>
      </w:r>
      <w:r w:rsidRPr="00404F91">
        <w:rPr>
          <w:i/>
        </w:rPr>
        <w:t>P.V. Properties, Inc.</w:t>
      </w:r>
      <w:r>
        <w:rPr>
          <w:i/>
        </w:rPr>
        <w:t xml:space="preserve"> v. </w:t>
      </w:r>
      <w:r w:rsidRPr="00404F91">
        <w:rPr>
          <w:i/>
        </w:rPr>
        <w:t>Rock Creek Vill. Associates Ltd. P</w:t>
      </w:r>
      <w:r>
        <w:rPr>
          <w:b/>
          <w:i/>
        </w:rPr>
        <w:t>'</w:t>
      </w:r>
      <w:r w:rsidRPr="00404F91">
        <w:rPr>
          <w:i/>
        </w:rPr>
        <w:t>ship</w:t>
      </w:r>
      <w:r w:rsidRPr="00587663">
        <w:t>. The landlord is obligated to act in good faith in incurring, recording and assessing common area maintenance charges. The contract</w:t>
      </w:r>
      <w:r>
        <w:rPr>
          <w:b/>
        </w:rPr>
        <w:t>'</w:t>
      </w:r>
      <w:r w:rsidRPr="00587663">
        <w:t>s implied obligation of good faith and cooperation creates the landlord</w:t>
      </w:r>
      <w:r>
        <w:rPr>
          <w:b/>
        </w:rPr>
        <w:t>'</w:t>
      </w:r>
      <w:r w:rsidRPr="00587663">
        <w:t>s implied requirement of disclosure of cost data and basis for the tenant</w:t>
      </w:r>
      <w:r>
        <w:rPr>
          <w:b/>
        </w:rPr>
        <w:t>'</w:t>
      </w:r>
      <w:r w:rsidRPr="00587663">
        <w:t>s common area maintenance liability.</w:t>
      </w:r>
    </w:p>
    <w:p w:rsidR="008F5BA3" w:rsidRPr="00B81883" w:rsidRDefault="008F5BA3" w:rsidP="000B4E33">
      <w:pPr>
        <w:pStyle w:val="BodyNumbered"/>
        <w:keepNext/>
        <w:numPr>
          <w:ilvl w:val="0"/>
          <w:numId w:val="34"/>
        </w:numPr>
        <w:ind w:left="0"/>
        <w:rPr>
          <w:u w:val="single"/>
        </w:rPr>
      </w:pPr>
      <w:r w:rsidRPr="00B81883">
        <w:rPr>
          <w:u w:val="single"/>
        </w:rPr>
        <w:t xml:space="preserve">Term </w:t>
      </w:r>
      <w:r>
        <w:rPr>
          <w:b/>
          <w:u w:val="single"/>
        </w:rPr>
        <w:t>"</w:t>
      </w:r>
      <w:r w:rsidRPr="00B81883">
        <w:rPr>
          <w:u w:val="single"/>
        </w:rPr>
        <w:t>total actual costs</w:t>
      </w:r>
      <w:r>
        <w:rPr>
          <w:b/>
          <w:u w:val="single"/>
        </w:rPr>
        <w:t>"</w:t>
      </w:r>
      <w:r w:rsidRPr="00B81883">
        <w:rPr>
          <w:u w:val="single"/>
        </w:rPr>
        <w:t xml:space="preserve"> is ambiguous</w:t>
      </w:r>
    </w:p>
    <w:p w:rsidR="008F5BA3" w:rsidRDefault="008F5BA3" w:rsidP="000B4E33">
      <w:pPr>
        <w:pStyle w:val="Body"/>
        <w:rPr>
          <w:b/>
        </w:rPr>
      </w:pPr>
      <w:r w:rsidRPr="00587663">
        <w:t>Contract interpretation rules require that ambiguity should be resolved in favor of reason and fairness (</w:t>
      </w:r>
      <w:r w:rsidRPr="00404F91">
        <w:rPr>
          <w:i/>
        </w:rPr>
        <w:t>Katz</w:t>
      </w:r>
      <w:r>
        <w:rPr>
          <w:i/>
        </w:rPr>
        <w:t xml:space="preserve"> v. </w:t>
      </w:r>
      <w:r w:rsidRPr="00404F91">
        <w:rPr>
          <w:i/>
        </w:rPr>
        <w:t>Williams</w:t>
      </w:r>
      <w:r w:rsidRPr="00587663">
        <w:t>, 239 Md. 355 (1965)). Additionally, ambiguity should be construed against the draftsman (</w:t>
      </w:r>
      <w:r w:rsidRPr="00404F91">
        <w:rPr>
          <w:i/>
        </w:rPr>
        <w:t>Stanbalt Realty Co.</w:t>
      </w:r>
      <w:r>
        <w:rPr>
          <w:i/>
        </w:rPr>
        <w:t xml:space="preserve"> v. </w:t>
      </w:r>
      <w:r w:rsidRPr="00404F91">
        <w:rPr>
          <w:i/>
        </w:rPr>
        <w:t>Commercial Credit Corp.,</w:t>
      </w:r>
      <w:r w:rsidRPr="00587663">
        <w:t xml:space="preserve"> 42 Md.App. 538 (1979)). Ambiguity should not be read to create harsh or inequitable results (</w:t>
      </w:r>
      <w:r w:rsidRPr="00404F91">
        <w:rPr>
          <w:i/>
        </w:rPr>
        <w:t>Canaras</w:t>
      </w:r>
      <w:r>
        <w:rPr>
          <w:i/>
        </w:rPr>
        <w:t xml:space="preserve"> v. </w:t>
      </w:r>
      <w:r w:rsidRPr="00404F91">
        <w:rPr>
          <w:i/>
        </w:rPr>
        <w:t>Lift Truck Services, Inc</w:t>
      </w:r>
      <w:r w:rsidRPr="00587663">
        <w:t>., 272 Md. 337 (1974)).</w:t>
      </w:r>
    </w:p>
    <w:p w:rsidR="008F5BA3" w:rsidRDefault="008F5BA3" w:rsidP="000B4E33">
      <w:pPr>
        <w:pStyle w:val="Body"/>
        <w:rPr>
          <w:b/>
        </w:rPr>
      </w:pPr>
      <w:r w:rsidRPr="00587663">
        <w:t xml:space="preserve">The same rules of contract interpretation apply in the </w:t>
      </w:r>
      <w:r w:rsidRPr="00404F91">
        <w:rPr>
          <w:i/>
        </w:rPr>
        <w:t>P.V. Properties, Inc.</w:t>
      </w:r>
      <w:r>
        <w:rPr>
          <w:i/>
        </w:rPr>
        <w:t xml:space="preserve"> v. </w:t>
      </w:r>
      <w:r w:rsidRPr="00404F91">
        <w:rPr>
          <w:i/>
        </w:rPr>
        <w:t>Rock Creek Vill. Associates Ltd. P</w:t>
      </w:r>
      <w:r>
        <w:rPr>
          <w:b/>
          <w:i/>
        </w:rPr>
        <w:t>'</w:t>
      </w:r>
      <w:r w:rsidRPr="00404F91">
        <w:rPr>
          <w:i/>
        </w:rPr>
        <w:t>ship</w:t>
      </w:r>
      <w:r w:rsidRPr="00587663">
        <w:t>. The court held that the tenant should be able to verify that the charges fall within the scope of its lease obligations.</w:t>
      </w:r>
    </w:p>
    <w:p w:rsidR="008F5BA3" w:rsidRPr="00B81883" w:rsidRDefault="008F5BA3" w:rsidP="000B4E33">
      <w:pPr>
        <w:pStyle w:val="BodyNumbered"/>
        <w:keepNext/>
        <w:numPr>
          <w:ilvl w:val="0"/>
          <w:numId w:val="34"/>
        </w:numPr>
        <w:ind w:left="0"/>
        <w:rPr>
          <w:u w:val="single"/>
        </w:rPr>
      </w:pPr>
      <w:r w:rsidRPr="00B81883">
        <w:rPr>
          <w:u w:val="single"/>
        </w:rPr>
        <w:t>Reasonably detailed statement</w:t>
      </w:r>
    </w:p>
    <w:p w:rsidR="008F5BA3" w:rsidRDefault="008F5BA3" w:rsidP="000B4E33">
      <w:pPr>
        <w:pStyle w:val="Body"/>
        <w:rPr>
          <w:b/>
        </w:rPr>
      </w:pPr>
      <w:r w:rsidRPr="00587663">
        <w:t xml:space="preserve">In </w:t>
      </w:r>
      <w:r w:rsidRPr="00404F91">
        <w:rPr>
          <w:i/>
        </w:rPr>
        <w:t>McClain</w:t>
      </w:r>
      <w:r>
        <w:rPr>
          <w:i/>
        </w:rPr>
        <w:t xml:space="preserve"> v. </w:t>
      </w:r>
      <w:r w:rsidRPr="00404F91">
        <w:rPr>
          <w:i/>
        </w:rPr>
        <w:t>Octagon Plaza, LLC</w:t>
      </w:r>
      <w:r w:rsidRPr="00587663">
        <w:t xml:space="preserve">, the shopping center tenant brought action against landlords for misrepresentation, breach of the covenant of good faith and fair dealing, and violations of the Consumer Credit Reporting Agencies Act, (CCRAA), and sought declaratory relief and an accounting. The landlord provided an </w:t>
      </w:r>
      <w:r>
        <w:rPr>
          <w:b/>
        </w:rPr>
        <w:t>"</w:t>
      </w:r>
      <w:r w:rsidRPr="00587663">
        <w:t>elaborate description of the common expenses,</w:t>
      </w:r>
      <w:r>
        <w:rPr>
          <w:b/>
        </w:rPr>
        <w:t>"</w:t>
      </w:r>
      <w:r w:rsidRPr="00587663">
        <w:t xml:space="preserve"> but the tenant questioned and disputed expenditures, and sought documentation beyond that verifying the actual expenses incurred. Additionally, the tenant requested permission for an auditor to examine the records, but the landlord did not agree to the request.</w:t>
      </w:r>
    </w:p>
    <w:p w:rsidR="008F5BA3" w:rsidRDefault="008F5BA3" w:rsidP="000B4E33">
      <w:pPr>
        <w:pStyle w:val="Body"/>
        <w:rPr>
          <w:b/>
        </w:rPr>
      </w:pPr>
      <w:r w:rsidRPr="00587663">
        <w:t>The Court of Appeals held that the tenant was not entitled to dispute the need for expenses or to audit the landlord</w:t>
      </w:r>
      <w:r>
        <w:rPr>
          <w:b/>
        </w:rPr>
        <w:t>'</w:t>
      </w:r>
      <w:r w:rsidRPr="00587663">
        <w:t>s records. Furthermore, the tenant was not entitled to an accounting other than disclosure of documents supporting landlords</w:t>
      </w:r>
      <w:r>
        <w:rPr>
          <w:b/>
        </w:rPr>
        <w:t>'</w:t>
      </w:r>
      <w:r w:rsidRPr="00587663">
        <w:t xml:space="preserve"> reasonably detailed statement of tenant</w:t>
      </w:r>
      <w:r>
        <w:rPr>
          <w:b/>
        </w:rPr>
        <w:t>'</w:t>
      </w:r>
      <w:r w:rsidRPr="00587663">
        <w:t>s share of the common expenses to verify that listed expenses were incurred and accurate.</w:t>
      </w:r>
    </w:p>
    <w:p w:rsidR="008F5BA3" w:rsidRDefault="008F5BA3" w:rsidP="000B4E33">
      <w:pPr>
        <w:pStyle w:val="Body"/>
        <w:rPr>
          <w:b/>
        </w:rPr>
      </w:pPr>
      <w:r w:rsidRPr="00404F91">
        <w:rPr>
          <w:i/>
        </w:rPr>
        <w:t>McClain</w:t>
      </w:r>
      <w:r>
        <w:rPr>
          <w:i/>
        </w:rPr>
        <w:t xml:space="preserve"> v. </w:t>
      </w:r>
      <w:r w:rsidRPr="00404F91">
        <w:rPr>
          <w:i/>
        </w:rPr>
        <w:t>Octagon Plaza, LLC</w:t>
      </w:r>
      <w:r w:rsidRPr="00587663">
        <w:t>, 159 Cal. App. 4th 784, 805 (2008).</w:t>
      </w:r>
    </w:p>
    <w:p w:rsidR="008F5BA3" w:rsidRPr="00B81883" w:rsidRDefault="008F5BA3" w:rsidP="000B4E33">
      <w:pPr>
        <w:pStyle w:val="BodyNumbered"/>
        <w:keepNext/>
        <w:numPr>
          <w:ilvl w:val="0"/>
          <w:numId w:val="34"/>
        </w:numPr>
        <w:ind w:left="0"/>
        <w:rPr>
          <w:u w:val="single"/>
        </w:rPr>
      </w:pPr>
      <w:r w:rsidRPr="00B81883">
        <w:rPr>
          <w:u w:val="single"/>
        </w:rPr>
        <w:t xml:space="preserve">A </w:t>
      </w:r>
      <w:r>
        <w:rPr>
          <w:u w:val="single"/>
        </w:rPr>
        <w:t xml:space="preserve">lease provision stating that a </w:t>
      </w:r>
      <w:r w:rsidRPr="00B81883">
        <w:rPr>
          <w:u w:val="single"/>
        </w:rPr>
        <w:t xml:space="preserve">determination rendered </w:t>
      </w:r>
      <w:r>
        <w:rPr>
          <w:u w:val="single"/>
        </w:rPr>
        <w:t xml:space="preserve">by Landlord's CPA is </w:t>
      </w:r>
      <w:r>
        <w:rPr>
          <w:b/>
          <w:u w:val="single"/>
        </w:rPr>
        <w:t>"</w:t>
      </w:r>
      <w:r w:rsidRPr="00B81883">
        <w:rPr>
          <w:u w:val="single"/>
        </w:rPr>
        <w:t>final</w:t>
      </w:r>
      <w:r>
        <w:rPr>
          <w:b/>
          <w:u w:val="single"/>
        </w:rPr>
        <w:t>"</w:t>
      </w:r>
      <w:r w:rsidRPr="00B81883">
        <w:rPr>
          <w:u w:val="single"/>
        </w:rPr>
        <w:t xml:space="preserve"> is binding</w:t>
      </w:r>
      <w:r>
        <w:rPr>
          <w:u w:val="single"/>
        </w:rPr>
        <w:t xml:space="preserve"> on the Tenant</w:t>
      </w:r>
    </w:p>
    <w:p w:rsidR="008F5BA3" w:rsidRPr="00587663" w:rsidRDefault="008F5BA3" w:rsidP="000B4E33">
      <w:pPr>
        <w:pStyle w:val="Body"/>
      </w:pPr>
      <w:r w:rsidRPr="00587663">
        <w:t xml:space="preserve">In </w:t>
      </w:r>
      <w:r w:rsidRPr="00404F91">
        <w:rPr>
          <w:i/>
        </w:rPr>
        <w:t>Gebhardt &amp; Smith LLP</w:t>
      </w:r>
      <w:r>
        <w:rPr>
          <w:i/>
        </w:rPr>
        <w:t xml:space="preserve"> v. </w:t>
      </w:r>
      <w:r w:rsidRPr="00404F91">
        <w:rPr>
          <w:i/>
        </w:rPr>
        <w:t>Maryland Port Admin.</w:t>
      </w:r>
      <w:r w:rsidRPr="00587663">
        <w:t>, the lease required the tenant, Gebhardt &amp; Smith, to pay to the landlord, the MPA, base rent plus a proportional share of the building</w:t>
      </w:r>
      <w:r>
        <w:rPr>
          <w:b/>
        </w:rPr>
        <w:t>'</w:t>
      </w:r>
      <w:r w:rsidRPr="00587663">
        <w:t>s operating expenses. In 2003, a dispute arose about the operating expenses. The tenant continued to pay its base rent, but did not pay for operating expenses. The landlord brought action against tenant for breach of lease. The lease had a provision that the landlord</w:t>
      </w:r>
      <w:r>
        <w:rPr>
          <w:b/>
        </w:rPr>
        <w:t>'</w:t>
      </w:r>
      <w:r w:rsidRPr="00587663">
        <w:t>s certified public accountant</w:t>
      </w:r>
      <w:r>
        <w:rPr>
          <w:b/>
        </w:rPr>
        <w:t>'</w:t>
      </w:r>
      <w:r w:rsidRPr="00587663">
        <w:t xml:space="preserve">s determination of building operating expenses was </w:t>
      </w:r>
      <w:r>
        <w:rPr>
          <w:b/>
        </w:rPr>
        <w:t>"</w:t>
      </w:r>
      <w:r w:rsidRPr="00587663">
        <w:t>final.</w:t>
      </w:r>
      <w:r>
        <w:rPr>
          <w:b/>
        </w:rPr>
        <w:t>"</w:t>
      </w:r>
    </w:p>
    <w:p w:rsidR="008F5BA3" w:rsidRDefault="008F5BA3" w:rsidP="000B4E33">
      <w:pPr>
        <w:pStyle w:val="Body"/>
        <w:rPr>
          <w:b/>
        </w:rPr>
      </w:pPr>
      <w:r w:rsidRPr="00587663">
        <w:t>The court held that the lease provision about the landlord</w:t>
      </w:r>
      <w:r>
        <w:rPr>
          <w:b/>
        </w:rPr>
        <w:t>'</w:t>
      </w:r>
      <w:r w:rsidRPr="00587663">
        <w:t>s determination of building operating expenses was a condition precedent to tenant</w:t>
      </w:r>
      <w:r>
        <w:rPr>
          <w:b/>
        </w:rPr>
        <w:t>'</w:t>
      </w:r>
      <w:r w:rsidRPr="00587663">
        <w:t>s obligation to pay those expenses. Furthermore, in the absence of fraud or bad faith, tenant was bound by the contract</w:t>
      </w:r>
      <w:r>
        <w:rPr>
          <w:b/>
        </w:rPr>
        <w:t>'</w:t>
      </w:r>
      <w:r w:rsidRPr="00587663">
        <w:t xml:space="preserve">s statement of operating expenses. The statement, </w:t>
      </w:r>
      <w:r>
        <w:rPr>
          <w:b/>
        </w:rPr>
        <w:t>"</w:t>
      </w:r>
      <w:r w:rsidRPr="00587663">
        <w:t>as determined by Lessor</w:t>
      </w:r>
      <w:r>
        <w:rPr>
          <w:b/>
        </w:rPr>
        <w:t>'</w:t>
      </w:r>
      <w:r w:rsidRPr="00587663">
        <w:t>s certified public accountant,</w:t>
      </w:r>
      <w:r>
        <w:rPr>
          <w:b/>
        </w:rPr>
        <w:t>"</w:t>
      </w:r>
      <w:r w:rsidRPr="00587663">
        <w:t xml:space="preserve"> was a </w:t>
      </w:r>
      <w:r>
        <w:rPr>
          <w:b/>
        </w:rPr>
        <w:t>"</w:t>
      </w:r>
      <w:r w:rsidRPr="00587663">
        <w:t>final determination</w:t>
      </w:r>
      <w:r>
        <w:rPr>
          <w:b/>
        </w:rPr>
        <w:t>"</w:t>
      </w:r>
      <w:r w:rsidRPr="00587663">
        <w:t xml:space="preserve"> between the parties.</w:t>
      </w:r>
    </w:p>
    <w:p w:rsidR="008F5BA3" w:rsidRPr="00587663" w:rsidRDefault="008F5BA3" w:rsidP="000B4E33">
      <w:pPr>
        <w:pStyle w:val="Body"/>
      </w:pPr>
      <w:r w:rsidRPr="00404F91">
        <w:rPr>
          <w:i/>
        </w:rPr>
        <w:t>Gebhardt &amp; Smith LLP</w:t>
      </w:r>
      <w:r>
        <w:rPr>
          <w:i/>
        </w:rPr>
        <w:t xml:space="preserve"> v. </w:t>
      </w:r>
      <w:r w:rsidRPr="00404F91">
        <w:rPr>
          <w:i/>
        </w:rPr>
        <w:t>Maryland Port Admin.</w:t>
      </w:r>
      <w:r w:rsidRPr="00587663">
        <w:t>, 188 Md. App. 532, 581-82 (2009).</w:t>
      </w:r>
    </w:p>
    <w:p w:rsidR="008F5BA3" w:rsidRDefault="008F5BA3" w:rsidP="000B4E33"/>
    <w:sectPr w:rsidR="008F5BA3" w:rsidSect="00C86FDD">
      <w:headerReference w:type="default" r:id="rId18"/>
      <w:footerReference w:type="default" r:id="rId19"/>
      <w:headerReference w:type="first" r:id="rId20"/>
      <w:footerReference w:type="first" r:id="rId21"/>
      <w:pgSz w:w="12240" w:h="15840" w:code="5"/>
      <w:pgMar w:top="1440" w:right="1440" w:bottom="1440" w:left="1440" w:header="720" w:footer="288"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BA3" w:rsidRPr="004C1A1C" w:rsidRDefault="008F5BA3" w:rsidP="00E53736">
      <w:pPr>
        <w:pStyle w:val="BlockText"/>
        <w:spacing w:before="0"/>
      </w:pPr>
      <w:r>
        <w:separator/>
      </w:r>
    </w:p>
  </w:endnote>
  <w:endnote w:type="continuationSeparator" w:id="0">
    <w:p w:rsidR="008F5BA3" w:rsidRPr="004C1A1C" w:rsidRDefault="008F5BA3" w:rsidP="00E53736">
      <w:pPr>
        <w:pStyle w:val="BlockText"/>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tblLayout w:type="fixed"/>
      <w:tblCellMar>
        <w:left w:w="0" w:type="dxa"/>
        <w:right w:w="0" w:type="dxa"/>
      </w:tblCellMar>
      <w:tblLook w:val="0000"/>
    </w:tblPr>
    <w:tblGrid>
      <w:gridCol w:w="3780"/>
      <w:gridCol w:w="1800"/>
      <w:gridCol w:w="3780"/>
    </w:tblGrid>
    <w:tr w:rsidR="008F5BA3" w:rsidTr="005753B4">
      <w:tc>
        <w:tcPr>
          <w:tcW w:w="3780" w:type="dxa"/>
          <w:vAlign w:val="bottom"/>
        </w:tcPr>
        <w:p w:rsidR="008F5BA3" w:rsidRPr="005753B4" w:rsidRDefault="008F5BA3" w:rsidP="005753B4">
          <w:pPr>
            <w:pStyle w:val="Footer"/>
            <w:rPr>
              <w:rStyle w:val="FooterTxt"/>
              <w:noProof/>
            </w:rPr>
          </w:pPr>
          <w:r>
            <w:rPr>
              <w:rStyle w:val="FooterTxt"/>
              <w:noProof/>
            </w:rPr>
            <w:t>842520</w:t>
          </w:r>
          <w:r w:rsidRPr="005753B4">
            <w:rPr>
              <w:rStyle w:val="FooterTxt"/>
              <w:noProof/>
            </w:rPr>
            <w:t>.</w:t>
          </w:r>
          <w:r>
            <w:rPr>
              <w:rStyle w:val="FooterTxt"/>
              <w:noProof/>
            </w:rPr>
            <w:t>05</w:t>
          </w:r>
          <w:r w:rsidRPr="005753B4">
            <w:rPr>
              <w:rStyle w:val="FooterTxt"/>
              <w:noProof/>
            </w:rPr>
            <w:t>/</w:t>
          </w:r>
          <w:r>
            <w:rPr>
              <w:rStyle w:val="FooterTxt"/>
              <w:noProof/>
            </w:rPr>
            <w:t>SF</w:t>
          </w:r>
        </w:p>
        <w:p w:rsidR="008F5BA3" w:rsidRPr="005753B4" w:rsidRDefault="008F5BA3" w:rsidP="005753B4">
          <w:pPr>
            <w:pStyle w:val="Footer"/>
            <w:rPr>
              <w:rStyle w:val="FooterTxt"/>
              <w:noProof/>
            </w:rPr>
          </w:pPr>
          <w:r>
            <w:rPr>
              <w:rStyle w:val="FooterTxt"/>
              <w:noProof/>
            </w:rPr>
            <w:t>999903</w:t>
          </w:r>
          <w:r w:rsidRPr="005753B4">
            <w:rPr>
              <w:rStyle w:val="FooterTxt"/>
              <w:noProof/>
            </w:rPr>
            <w:t>-</w:t>
          </w:r>
          <w:r>
            <w:rPr>
              <w:rStyle w:val="FooterTxt"/>
              <w:noProof/>
            </w:rPr>
            <w:t>30000</w:t>
          </w:r>
          <w:r w:rsidRPr="005753B4">
            <w:rPr>
              <w:rStyle w:val="FooterTxt"/>
              <w:noProof/>
            </w:rPr>
            <w:t>/</w:t>
          </w:r>
          <w:r>
            <w:rPr>
              <w:rStyle w:val="FooterTxt"/>
              <w:noProof/>
            </w:rPr>
            <w:t>7-25-12</w:t>
          </w:r>
          <w:r w:rsidRPr="005753B4">
            <w:rPr>
              <w:rStyle w:val="FooterTxt"/>
              <w:noProof/>
            </w:rPr>
            <w:t>/</w:t>
          </w:r>
          <w:r>
            <w:rPr>
              <w:rStyle w:val="FooterTxt"/>
              <w:noProof/>
            </w:rPr>
            <w:t>nbw</w:t>
          </w:r>
          <w:r w:rsidRPr="005753B4">
            <w:rPr>
              <w:rStyle w:val="FooterTxt"/>
              <w:noProof/>
            </w:rPr>
            <w:t>/</w:t>
          </w:r>
          <w:r>
            <w:rPr>
              <w:rStyle w:val="FooterTxt"/>
              <w:noProof/>
            </w:rPr>
            <w:t>nlm</w:t>
          </w:r>
        </w:p>
      </w:tc>
      <w:tc>
        <w:tcPr>
          <w:tcW w:w="1800" w:type="dxa"/>
          <w:vAlign w:val="bottom"/>
        </w:tcPr>
        <w:p w:rsidR="008F5BA3" w:rsidRPr="005753B4" w:rsidRDefault="008F5BA3" w:rsidP="005753B4">
          <w:pPr>
            <w:pStyle w:val="Footer"/>
            <w:jc w:val="center"/>
            <w:rPr>
              <w:rStyle w:val="PageNumber"/>
              <w:noProof/>
            </w:rPr>
          </w:pPr>
        </w:p>
      </w:tc>
      <w:tc>
        <w:tcPr>
          <w:tcW w:w="3780" w:type="dxa"/>
          <w:vAlign w:val="bottom"/>
        </w:tcPr>
        <w:p w:rsidR="008F5BA3" w:rsidRDefault="008F5BA3" w:rsidP="005753B4">
          <w:pPr>
            <w:pStyle w:val="Footer"/>
            <w:jc w:val="right"/>
            <w:rPr>
              <w:rStyle w:val="FooterTxt"/>
              <w:noProof/>
            </w:rPr>
          </w:pPr>
        </w:p>
        <w:p w:rsidR="008F5BA3" w:rsidRPr="005753B4" w:rsidRDefault="008F5BA3" w:rsidP="005753B4">
          <w:pPr>
            <w:pStyle w:val="Footer"/>
            <w:jc w:val="right"/>
            <w:rPr>
              <w:rStyle w:val="FooterTxt"/>
              <w:noProof/>
            </w:rPr>
          </w:pPr>
        </w:p>
      </w:tc>
    </w:tr>
  </w:tbl>
  <w:p w:rsidR="008F5BA3" w:rsidRPr="005753B4" w:rsidRDefault="008F5BA3" w:rsidP="005753B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tblLayout w:type="fixed"/>
      <w:tblCellMar>
        <w:left w:w="0" w:type="dxa"/>
        <w:right w:w="0" w:type="dxa"/>
      </w:tblCellMar>
      <w:tblLook w:val="0000"/>
    </w:tblPr>
    <w:tblGrid>
      <w:gridCol w:w="3780"/>
      <w:gridCol w:w="1800"/>
      <w:gridCol w:w="3780"/>
    </w:tblGrid>
    <w:tr w:rsidR="008F5BA3" w:rsidTr="00D069F7">
      <w:tc>
        <w:tcPr>
          <w:tcW w:w="3780" w:type="dxa"/>
          <w:vAlign w:val="bottom"/>
        </w:tcPr>
        <w:p w:rsidR="008F5BA3" w:rsidRPr="00C86FDD" w:rsidRDefault="008F5BA3" w:rsidP="00D069F7">
          <w:pPr>
            <w:pStyle w:val="Footer"/>
            <w:rPr>
              <w:rStyle w:val="FooterTxt"/>
              <w:noProof/>
            </w:rPr>
          </w:pPr>
          <w:r>
            <w:rPr>
              <w:rStyle w:val="FooterTxt"/>
              <w:noProof/>
            </w:rPr>
            <w:t>842520</w:t>
          </w:r>
          <w:r w:rsidRPr="00C86FDD">
            <w:rPr>
              <w:rStyle w:val="FooterTxt"/>
              <w:noProof/>
            </w:rPr>
            <w:t>.</w:t>
          </w:r>
          <w:r>
            <w:rPr>
              <w:rStyle w:val="FooterTxt"/>
              <w:noProof/>
            </w:rPr>
            <w:t>05</w:t>
          </w:r>
          <w:r w:rsidRPr="00C86FDD">
            <w:rPr>
              <w:rStyle w:val="FooterTxt"/>
              <w:noProof/>
            </w:rPr>
            <w:t>/</w:t>
          </w:r>
          <w:r>
            <w:rPr>
              <w:rStyle w:val="FooterTxt"/>
              <w:noProof/>
            </w:rPr>
            <w:t>SF</w:t>
          </w:r>
        </w:p>
        <w:p w:rsidR="008F5BA3" w:rsidRPr="00C86FDD" w:rsidRDefault="008F5BA3" w:rsidP="00D069F7">
          <w:pPr>
            <w:pStyle w:val="Footer"/>
            <w:rPr>
              <w:rStyle w:val="FooterTxt"/>
              <w:noProof/>
            </w:rPr>
          </w:pPr>
          <w:r>
            <w:rPr>
              <w:rStyle w:val="FooterTxt"/>
              <w:noProof/>
            </w:rPr>
            <w:t>999903</w:t>
          </w:r>
          <w:r w:rsidRPr="00C86FDD">
            <w:rPr>
              <w:rStyle w:val="FooterTxt"/>
              <w:noProof/>
            </w:rPr>
            <w:t>-</w:t>
          </w:r>
          <w:r>
            <w:rPr>
              <w:rStyle w:val="FooterTxt"/>
              <w:noProof/>
            </w:rPr>
            <w:t>30000</w:t>
          </w:r>
          <w:r w:rsidRPr="00C86FDD">
            <w:rPr>
              <w:rStyle w:val="FooterTxt"/>
              <w:noProof/>
            </w:rPr>
            <w:t>/</w:t>
          </w:r>
          <w:r>
            <w:rPr>
              <w:rStyle w:val="FooterTxt"/>
              <w:noProof/>
            </w:rPr>
            <w:t>7-25-12</w:t>
          </w:r>
          <w:r w:rsidRPr="00C86FDD">
            <w:rPr>
              <w:rStyle w:val="FooterTxt"/>
              <w:noProof/>
            </w:rPr>
            <w:t>/</w:t>
          </w:r>
          <w:r>
            <w:rPr>
              <w:rStyle w:val="FooterTxt"/>
              <w:noProof/>
            </w:rPr>
            <w:t>nbw</w:t>
          </w:r>
          <w:r w:rsidRPr="00C86FDD">
            <w:rPr>
              <w:rStyle w:val="FooterTxt"/>
              <w:noProof/>
            </w:rPr>
            <w:t>/</w:t>
          </w:r>
          <w:r>
            <w:rPr>
              <w:rStyle w:val="FooterTxt"/>
              <w:noProof/>
            </w:rPr>
            <w:t>nlm</w:t>
          </w:r>
        </w:p>
      </w:tc>
      <w:tc>
        <w:tcPr>
          <w:tcW w:w="1800" w:type="dxa"/>
          <w:vAlign w:val="bottom"/>
        </w:tcPr>
        <w:p w:rsidR="008F5BA3" w:rsidRPr="00C86FDD" w:rsidRDefault="008F5BA3" w:rsidP="00D069F7">
          <w:pPr>
            <w:pStyle w:val="Footer"/>
            <w:jc w:val="center"/>
            <w:rPr>
              <w:rStyle w:val="PageNumber"/>
              <w:noProof/>
            </w:rPr>
          </w:pPr>
          <w:r w:rsidRPr="00C86FDD">
            <w:rPr>
              <w:rStyle w:val="PageNumber"/>
              <w:noProof/>
            </w:rPr>
            <w:t>(</w:t>
          </w:r>
          <w:r w:rsidRPr="00C86FDD">
            <w:rPr>
              <w:rStyle w:val="PageNumber"/>
              <w:noProof/>
            </w:rPr>
            <w:fldChar w:fldCharType="begin"/>
          </w:r>
          <w:r w:rsidRPr="00C86FDD">
            <w:rPr>
              <w:rStyle w:val="PageNumber"/>
              <w:noProof/>
            </w:rPr>
            <w:instrText xml:space="preserve"> PAGE  </w:instrText>
          </w:r>
          <w:r w:rsidRPr="00C86FDD">
            <w:rPr>
              <w:rStyle w:val="PageNumber"/>
              <w:noProof/>
            </w:rPr>
            <w:fldChar w:fldCharType="separate"/>
          </w:r>
          <w:r>
            <w:rPr>
              <w:rStyle w:val="PageNumber"/>
              <w:noProof/>
            </w:rPr>
            <w:t>i</w:t>
          </w:r>
          <w:r w:rsidRPr="00C86FDD">
            <w:rPr>
              <w:rStyle w:val="PageNumber"/>
              <w:noProof/>
            </w:rPr>
            <w:fldChar w:fldCharType="end"/>
          </w:r>
          <w:r w:rsidRPr="00C86FDD">
            <w:rPr>
              <w:rStyle w:val="PageNumber"/>
              <w:noProof/>
            </w:rPr>
            <w:t>)</w:t>
          </w:r>
        </w:p>
      </w:tc>
      <w:tc>
        <w:tcPr>
          <w:tcW w:w="3780" w:type="dxa"/>
          <w:vAlign w:val="bottom"/>
        </w:tcPr>
        <w:p w:rsidR="008F5BA3" w:rsidRDefault="008F5BA3" w:rsidP="00D069F7">
          <w:pPr>
            <w:pStyle w:val="Footer"/>
            <w:jc w:val="right"/>
            <w:rPr>
              <w:rStyle w:val="FooterTxt"/>
              <w:noProof/>
            </w:rPr>
          </w:pPr>
        </w:p>
        <w:p w:rsidR="008F5BA3" w:rsidRPr="00C86FDD" w:rsidRDefault="008F5BA3" w:rsidP="00D069F7">
          <w:pPr>
            <w:pStyle w:val="Footer"/>
            <w:jc w:val="right"/>
            <w:rPr>
              <w:rStyle w:val="FooterTxt"/>
              <w:noProof/>
            </w:rPr>
          </w:pPr>
        </w:p>
      </w:tc>
    </w:tr>
  </w:tbl>
  <w:p w:rsidR="008F5BA3" w:rsidRPr="00C86FDD" w:rsidRDefault="008F5BA3" w:rsidP="00C86FD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tblLayout w:type="fixed"/>
      <w:tblCellMar>
        <w:left w:w="0" w:type="dxa"/>
        <w:right w:w="0" w:type="dxa"/>
      </w:tblCellMar>
      <w:tblLook w:val="0000"/>
    </w:tblPr>
    <w:tblGrid>
      <w:gridCol w:w="3780"/>
      <w:gridCol w:w="1800"/>
      <w:gridCol w:w="3780"/>
    </w:tblGrid>
    <w:tr w:rsidR="008F5BA3" w:rsidTr="00D069F7">
      <w:tc>
        <w:tcPr>
          <w:tcW w:w="3780" w:type="dxa"/>
          <w:vAlign w:val="bottom"/>
        </w:tcPr>
        <w:p w:rsidR="008F5BA3" w:rsidRPr="00C86FDD" w:rsidRDefault="008F5BA3" w:rsidP="00D069F7">
          <w:pPr>
            <w:pStyle w:val="Footer"/>
            <w:rPr>
              <w:rStyle w:val="FooterTxt"/>
              <w:noProof/>
            </w:rPr>
          </w:pPr>
          <w:r>
            <w:rPr>
              <w:rStyle w:val="FooterTxt"/>
              <w:noProof/>
            </w:rPr>
            <w:t>842520</w:t>
          </w:r>
          <w:r w:rsidRPr="00C86FDD">
            <w:rPr>
              <w:rStyle w:val="FooterTxt"/>
              <w:noProof/>
            </w:rPr>
            <w:t>.</w:t>
          </w:r>
          <w:r>
            <w:rPr>
              <w:rStyle w:val="FooterTxt"/>
              <w:noProof/>
            </w:rPr>
            <w:t>05</w:t>
          </w:r>
          <w:r w:rsidRPr="00C86FDD">
            <w:rPr>
              <w:rStyle w:val="FooterTxt"/>
              <w:noProof/>
            </w:rPr>
            <w:t>/</w:t>
          </w:r>
          <w:r>
            <w:rPr>
              <w:rStyle w:val="FooterTxt"/>
              <w:noProof/>
            </w:rPr>
            <w:t>SF</w:t>
          </w:r>
        </w:p>
        <w:p w:rsidR="008F5BA3" w:rsidRPr="00C86FDD" w:rsidRDefault="008F5BA3" w:rsidP="00D069F7">
          <w:pPr>
            <w:pStyle w:val="Footer"/>
            <w:rPr>
              <w:rStyle w:val="FooterTxt"/>
              <w:noProof/>
            </w:rPr>
          </w:pPr>
          <w:r>
            <w:rPr>
              <w:rStyle w:val="FooterTxt"/>
              <w:noProof/>
            </w:rPr>
            <w:t>999903</w:t>
          </w:r>
          <w:r w:rsidRPr="00C86FDD">
            <w:rPr>
              <w:rStyle w:val="FooterTxt"/>
              <w:noProof/>
            </w:rPr>
            <w:t>-</w:t>
          </w:r>
          <w:r>
            <w:rPr>
              <w:rStyle w:val="FooterTxt"/>
              <w:noProof/>
            </w:rPr>
            <w:t>30000</w:t>
          </w:r>
          <w:r w:rsidRPr="00C86FDD">
            <w:rPr>
              <w:rStyle w:val="FooterTxt"/>
              <w:noProof/>
            </w:rPr>
            <w:t>/</w:t>
          </w:r>
          <w:r>
            <w:rPr>
              <w:rStyle w:val="FooterTxt"/>
              <w:noProof/>
            </w:rPr>
            <w:t>7-25-12</w:t>
          </w:r>
          <w:r w:rsidRPr="00C86FDD">
            <w:rPr>
              <w:rStyle w:val="FooterTxt"/>
              <w:noProof/>
            </w:rPr>
            <w:t>/</w:t>
          </w:r>
          <w:r>
            <w:rPr>
              <w:rStyle w:val="FooterTxt"/>
              <w:noProof/>
            </w:rPr>
            <w:t>nbw</w:t>
          </w:r>
          <w:r w:rsidRPr="00C86FDD">
            <w:rPr>
              <w:rStyle w:val="FooterTxt"/>
              <w:noProof/>
            </w:rPr>
            <w:t>/</w:t>
          </w:r>
          <w:r>
            <w:rPr>
              <w:rStyle w:val="FooterTxt"/>
              <w:noProof/>
            </w:rPr>
            <w:t>nlm</w:t>
          </w:r>
        </w:p>
      </w:tc>
      <w:tc>
        <w:tcPr>
          <w:tcW w:w="1800" w:type="dxa"/>
          <w:vAlign w:val="bottom"/>
        </w:tcPr>
        <w:p w:rsidR="008F5BA3" w:rsidRPr="00C86FDD" w:rsidRDefault="008F5BA3" w:rsidP="00D069F7">
          <w:pPr>
            <w:pStyle w:val="Footer"/>
            <w:jc w:val="center"/>
            <w:rPr>
              <w:rStyle w:val="PageNumber"/>
              <w:noProof/>
            </w:rPr>
          </w:pPr>
          <w:r w:rsidRPr="00C86FDD">
            <w:rPr>
              <w:rStyle w:val="PageNumber"/>
              <w:noProof/>
            </w:rPr>
            <w:t>(</w:t>
          </w:r>
          <w:r w:rsidRPr="00C86FDD">
            <w:rPr>
              <w:rStyle w:val="PageNumber"/>
              <w:noProof/>
            </w:rPr>
            <w:fldChar w:fldCharType="begin"/>
          </w:r>
          <w:r w:rsidRPr="00C86FDD">
            <w:rPr>
              <w:rStyle w:val="PageNumber"/>
              <w:noProof/>
            </w:rPr>
            <w:instrText xml:space="preserve"> PAGE  </w:instrText>
          </w:r>
          <w:r w:rsidRPr="00C86FDD">
            <w:rPr>
              <w:rStyle w:val="PageNumber"/>
              <w:noProof/>
            </w:rPr>
            <w:fldChar w:fldCharType="separate"/>
          </w:r>
          <w:r>
            <w:rPr>
              <w:rStyle w:val="PageNumber"/>
              <w:noProof/>
            </w:rPr>
            <w:t>i</w:t>
          </w:r>
          <w:r w:rsidRPr="00C86FDD">
            <w:rPr>
              <w:rStyle w:val="PageNumber"/>
              <w:noProof/>
            </w:rPr>
            <w:fldChar w:fldCharType="end"/>
          </w:r>
          <w:r w:rsidRPr="00C86FDD">
            <w:rPr>
              <w:rStyle w:val="PageNumber"/>
              <w:noProof/>
            </w:rPr>
            <w:t>)</w:t>
          </w:r>
        </w:p>
      </w:tc>
      <w:tc>
        <w:tcPr>
          <w:tcW w:w="3780" w:type="dxa"/>
          <w:vAlign w:val="bottom"/>
        </w:tcPr>
        <w:p w:rsidR="008F5BA3" w:rsidRDefault="008F5BA3" w:rsidP="00D069F7">
          <w:pPr>
            <w:pStyle w:val="Footer"/>
            <w:jc w:val="right"/>
            <w:rPr>
              <w:rStyle w:val="FooterTxt"/>
              <w:noProof/>
            </w:rPr>
          </w:pPr>
        </w:p>
        <w:p w:rsidR="008F5BA3" w:rsidRPr="00C86FDD" w:rsidRDefault="008F5BA3" w:rsidP="00D069F7">
          <w:pPr>
            <w:pStyle w:val="Footer"/>
            <w:jc w:val="right"/>
            <w:rPr>
              <w:rStyle w:val="FooterTxt"/>
              <w:noProof/>
            </w:rPr>
          </w:pPr>
        </w:p>
      </w:tc>
    </w:tr>
  </w:tbl>
  <w:p w:rsidR="008F5BA3" w:rsidRPr="00C86FDD" w:rsidRDefault="008F5BA3" w:rsidP="00C86FDD">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tblLayout w:type="fixed"/>
      <w:tblCellMar>
        <w:left w:w="0" w:type="dxa"/>
        <w:right w:w="0" w:type="dxa"/>
      </w:tblCellMar>
      <w:tblLook w:val="0000"/>
    </w:tblPr>
    <w:tblGrid>
      <w:gridCol w:w="3780"/>
      <w:gridCol w:w="1800"/>
      <w:gridCol w:w="3780"/>
    </w:tblGrid>
    <w:tr w:rsidR="008F5BA3" w:rsidTr="00D069F7">
      <w:tc>
        <w:tcPr>
          <w:tcW w:w="3780" w:type="dxa"/>
          <w:vAlign w:val="bottom"/>
        </w:tcPr>
        <w:p w:rsidR="008F5BA3" w:rsidRPr="003D6F12" w:rsidRDefault="008F5BA3" w:rsidP="00D069F7">
          <w:pPr>
            <w:pStyle w:val="Footer"/>
            <w:rPr>
              <w:rStyle w:val="FooterTxt"/>
              <w:noProof/>
            </w:rPr>
          </w:pPr>
          <w:r>
            <w:rPr>
              <w:rStyle w:val="FooterTxt"/>
              <w:noProof/>
            </w:rPr>
            <w:t>842520</w:t>
          </w:r>
          <w:r w:rsidRPr="003D6F12">
            <w:rPr>
              <w:rStyle w:val="FooterTxt"/>
              <w:noProof/>
            </w:rPr>
            <w:t>.</w:t>
          </w:r>
          <w:r>
            <w:rPr>
              <w:rStyle w:val="FooterTxt"/>
              <w:noProof/>
            </w:rPr>
            <w:t>05</w:t>
          </w:r>
          <w:r w:rsidRPr="003D6F12">
            <w:rPr>
              <w:rStyle w:val="FooterTxt"/>
              <w:noProof/>
            </w:rPr>
            <w:t>/</w:t>
          </w:r>
          <w:r>
            <w:rPr>
              <w:rStyle w:val="FooterTxt"/>
              <w:noProof/>
            </w:rPr>
            <w:t>SF</w:t>
          </w:r>
        </w:p>
        <w:p w:rsidR="008F5BA3" w:rsidRPr="003D6F12" w:rsidRDefault="008F5BA3" w:rsidP="00D069F7">
          <w:pPr>
            <w:pStyle w:val="Footer"/>
            <w:rPr>
              <w:rStyle w:val="FooterTxt"/>
              <w:noProof/>
            </w:rPr>
          </w:pPr>
          <w:r>
            <w:rPr>
              <w:rStyle w:val="FooterTxt"/>
              <w:noProof/>
            </w:rPr>
            <w:t>999903</w:t>
          </w:r>
          <w:r w:rsidRPr="003D6F12">
            <w:rPr>
              <w:rStyle w:val="FooterTxt"/>
              <w:noProof/>
            </w:rPr>
            <w:t>-</w:t>
          </w:r>
          <w:r>
            <w:rPr>
              <w:rStyle w:val="FooterTxt"/>
              <w:noProof/>
            </w:rPr>
            <w:t>30000</w:t>
          </w:r>
          <w:r w:rsidRPr="003D6F12">
            <w:rPr>
              <w:rStyle w:val="FooterTxt"/>
              <w:noProof/>
            </w:rPr>
            <w:t>/</w:t>
          </w:r>
          <w:r>
            <w:rPr>
              <w:rStyle w:val="FooterTxt"/>
              <w:noProof/>
            </w:rPr>
            <w:t>7-25-12</w:t>
          </w:r>
          <w:r w:rsidRPr="003D6F12">
            <w:rPr>
              <w:rStyle w:val="FooterTxt"/>
              <w:noProof/>
            </w:rPr>
            <w:t>/</w:t>
          </w:r>
          <w:r>
            <w:rPr>
              <w:rStyle w:val="FooterTxt"/>
              <w:noProof/>
            </w:rPr>
            <w:t>nbw</w:t>
          </w:r>
          <w:r w:rsidRPr="003D6F12">
            <w:rPr>
              <w:rStyle w:val="FooterTxt"/>
              <w:noProof/>
            </w:rPr>
            <w:t>/</w:t>
          </w:r>
          <w:r>
            <w:rPr>
              <w:rStyle w:val="FooterTxt"/>
              <w:noProof/>
            </w:rPr>
            <w:t>nlm</w:t>
          </w:r>
        </w:p>
      </w:tc>
      <w:tc>
        <w:tcPr>
          <w:tcW w:w="1800" w:type="dxa"/>
          <w:vAlign w:val="bottom"/>
        </w:tcPr>
        <w:p w:rsidR="008F5BA3" w:rsidRPr="003D6F12" w:rsidRDefault="008F5BA3" w:rsidP="00D069F7">
          <w:pPr>
            <w:pStyle w:val="Footer"/>
            <w:jc w:val="center"/>
            <w:rPr>
              <w:rStyle w:val="PageNumber"/>
              <w:noProof/>
            </w:rPr>
          </w:pPr>
          <w:r w:rsidRPr="003D6F12">
            <w:rPr>
              <w:rStyle w:val="PageNumber"/>
              <w:noProof/>
            </w:rPr>
            <w:t>-</w:t>
          </w:r>
          <w:r w:rsidRPr="003D6F12">
            <w:rPr>
              <w:rStyle w:val="PageNumber"/>
              <w:noProof/>
            </w:rPr>
            <w:fldChar w:fldCharType="begin"/>
          </w:r>
          <w:r w:rsidRPr="003D6F12">
            <w:rPr>
              <w:rStyle w:val="PageNumber"/>
              <w:noProof/>
            </w:rPr>
            <w:instrText xml:space="preserve"> PAGE  </w:instrText>
          </w:r>
          <w:r w:rsidRPr="003D6F12">
            <w:rPr>
              <w:rStyle w:val="PageNumber"/>
              <w:noProof/>
            </w:rPr>
            <w:fldChar w:fldCharType="separate"/>
          </w:r>
          <w:r>
            <w:rPr>
              <w:rStyle w:val="PageNumber"/>
              <w:noProof/>
            </w:rPr>
            <w:t>22</w:t>
          </w:r>
          <w:r w:rsidRPr="003D6F12">
            <w:rPr>
              <w:rStyle w:val="PageNumber"/>
              <w:noProof/>
            </w:rPr>
            <w:fldChar w:fldCharType="end"/>
          </w:r>
          <w:r w:rsidRPr="003D6F12">
            <w:rPr>
              <w:rStyle w:val="PageNumber"/>
              <w:noProof/>
            </w:rPr>
            <w:t>-</w:t>
          </w:r>
        </w:p>
      </w:tc>
      <w:tc>
        <w:tcPr>
          <w:tcW w:w="3780" w:type="dxa"/>
          <w:vAlign w:val="bottom"/>
        </w:tcPr>
        <w:p w:rsidR="008F5BA3" w:rsidRDefault="008F5BA3" w:rsidP="00D069F7">
          <w:pPr>
            <w:pStyle w:val="Footer"/>
            <w:jc w:val="right"/>
            <w:rPr>
              <w:rStyle w:val="FooterTxt"/>
              <w:noProof/>
            </w:rPr>
          </w:pPr>
        </w:p>
        <w:p w:rsidR="008F5BA3" w:rsidRPr="003D6F12" w:rsidRDefault="008F5BA3" w:rsidP="00D069F7">
          <w:pPr>
            <w:pStyle w:val="Footer"/>
            <w:jc w:val="right"/>
            <w:rPr>
              <w:rStyle w:val="FooterTxt"/>
              <w:noProof/>
            </w:rPr>
          </w:pPr>
        </w:p>
      </w:tc>
    </w:tr>
  </w:tbl>
  <w:p w:rsidR="008F5BA3" w:rsidRPr="003D6F12" w:rsidRDefault="008F5BA3" w:rsidP="00C86FD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tblLayout w:type="fixed"/>
      <w:tblCellMar>
        <w:left w:w="0" w:type="dxa"/>
        <w:right w:w="0" w:type="dxa"/>
      </w:tblCellMar>
      <w:tblLook w:val="0000"/>
    </w:tblPr>
    <w:tblGrid>
      <w:gridCol w:w="3780"/>
      <w:gridCol w:w="1800"/>
      <w:gridCol w:w="3780"/>
    </w:tblGrid>
    <w:tr w:rsidR="008F5BA3" w:rsidTr="00D069F7">
      <w:tc>
        <w:tcPr>
          <w:tcW w:w="3780" w:type="dxa"/>
          <w:vAlign w:val="bottom"/>
        </w:tcPr>
        <w:p w:rsidR="008F5BA3" w:rsidRPr="005753B4" w:rsidRDefault="008F5BA3" w:rsidP="00D069F7">
          <w:pPr>
            <w:pStyle w:val="Footer"/>
            <w:rPr>
              <w:rStyle w:val="FooterTxt"/>
              <w:noProof/>
            </w:rPr>
          </w:pPr>
          <w:r>
            <w:rPr>
              <w:rStyle w:val="FooterTxt"/>
              <w:noProof/>
            </w:rPr>
            <w:t>842520</w:t>
          </w:r>
          <w:r w:rsidRPr="005753B4">
            <w:rPr>
              <w:rStyle w:val="FooterTxt"/>
              <w:noProof/>
            </w:rPr>
            <w:t>.</w:t>
          </w:r>
          <w:r>
            <w:rPr>
              <w:rStyle w:val="FooterTxt"/>
              <w:noProof/>
            </w:rPr>
            <w:t>05</w:t>
          </w:r>
          <w:r w:rsidRPr="005753B4">
            <w:rPr>
              <w:rStyle w:val="FooterTxt"/>
              <w:noProof/>
            </w:rPr>
            <w:t>/</w:t>
          </w:r>
          <w:r>
            <w:rPr>
              <w:rStyle w:val="FooterTxt"/>
              <w:noProof/>
            </w:rPr>
            <w:t>SF</w:t>
          </w:r>
        </w:p>
        <w:p w:rsidR="008F5BA3" w:rsidRPr="005753B4" w:rsidRDefault="008F5BA3" w:rsidP="00D069F7">
          <w:pPr>
            <w:pStyle w:val="Footer"/>
            <w:rPr>
              <w:rStyle w:val="FooterTxt"/>
              <w:noProof/>
            </w:rPr>
          </w:pPr>
          <w:r>
            <w:rPr>
              <w:rStyle w:val="FooterTxt"/>
              <w:noProof/>
            </w:rPr>
            <w:t>999903</w:t>
          </w:r>
          <w:r w:rsidRPr="005753B4">
            <w:rPr>
              <w:rStyle w:val="FooterTxt"/>
              <w:noProof/>
            </w:rPr>
            <w:t>-</w:t>
          </w:r>
          <w:r>
            <w:rPr>
              <w:rStyle w:val="FooterTxt"/>
              <w:noProof/>
            </w:rPr>
            <w:t>30000</w:t>
          </w:r>
          <w:r w:rsidRPr="005753B4">
            <w:rPr>
              <w:rStyle w:val="FooterTxt"/>
              <w:noProof/>
            </w:rPr>
            <w:t>/</w:t>
          </w:r>
          <w:r>
            <w:rPr>
              <w:rStyle w:val="FooterTxt"/>
              <w:noProof/>
            </w:rPr>
            <w:t>7-25-12</w:t>
          </w:r>
          <w:r w:rsidRPr="005753B4">
            <w:rPr>
              <w:rStyle w:val="FooterTxt"/>
              <w:noProof/>
            </w:rPr>
            <w:t>/</w:t>
          </w:r>
          <w:r>
            <w:rPr>
              <w:rStyle w:val="FooterTxt"/>
              <w:noProof/>
            </w:rPr>
            <w:t>nbw</w:t>
          </w:r>
          <w:r w:rsidRPr="005753B4">
            <w:rPr>
              <w:rStyle w:val="FooterTxt"/>
              <w:noProof/>
            </w:rPr>
            <w:t>/</w:t>
          </w:r>
          <w:r>
            <w:rPr>
              <w:rStyle w:val="FooterTxt"/>
              <w:noProof/>
            </w:rPr>
            <w:t>nlm</w:t>
          </w:r>
        </w:p>
      </w:tc>
      <w:tc>
        <w:tcPr>
          <w:tcW w:w="1800" w:type="dxa"/>
          <w:vAlign w:val="bottom"/>
        </w:tcPr>
        <w:p w:rsidR="008F5BA3" w:rsidRPr="005753B4" w:rsidRDefault="008F5BA3" w:rsidP="00D069F7">
          <w:pPr>
            <w:pStyle w:val="Footer"/>
            <w:jc w:val="center"/>
            <w:rPr>
              <w:rStyle w:val="PageNumber"/>
              <w:noProof/>
            </w:rPr>
          </w:pPr>
        </w:p>
      </w:tc>
      <w:tc>
        <w:tcPr>
          <w:tcW w:w="3780" w:type="dxa"/>
          <w:vAlign w:val="bottom"/>
        </w:tcPr>
        <w:p w:rsidR="008F5BA3" w:rsidRDefault="008F5BA3" w:rsidP="00D069F7">
          <w:pPr>
            <w:pStyle w:val="Footer"/>
            <w:jc w:val="right"/>
            <w:rPr>
              <w:rStyle w:val="FooterTxt"/>
              <w:noProof/>
            </w:rPr>
          </w:pPr>
        </w:p>
        <w:p w:rsidR="008F5BA3" w:rsidRPr="005753B4" w:rsidRDefault="008F5BA3" w:rsidP="00D069F7">
          <w:pPr>
            <w:pStyle w:val="Footer"/>
            <w:jc w:val="right"/>
            <w:rPr>
              <w:rStyle w:val="FooterTxt"/>
              <w:noProof/>
            </w:rPr>
          </w:pPr>
        </w:p>
      </w:tc>
    </w:tr>
  </w:tbl>
  <w:p w:rsidR="008F5BA3" w:rsidRPr="005753B4" w:rsidRDefault="008F5BA3" w:rsidP="00C86F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BA3" w:rsidRPr="004C1A1C" w:rsidRDefault="008F5BA3" w:rsidP="006B667F">
      <w:r>
        <w:separator/>
      </w:r>
    </w:p>
  </w:footnote>
  <w:footnote w:type="continuationSeparator" w:id="0">
    <w:p w:rsidR="008F5BA3" w:rsidRPr="004C1A1C" w:rsidRDefault="008F5BA3" w:rsidP="006B667F">
      <w:r>
        <w:continuationSeparator/>
      </w:r>
    </w:p>
  </w:footnote>
  <w:footnote w:type="continuationNotice" w:id="1">
    <w:p w:rsidR="008F5BA3" w:rsidRDefault="008F5BA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rsidP="00C86FDD">
    <w:pPr>
      <w:pStyle w:val="HeadingTitle"/>
      <w:spacing w:before="480"/>
      <w:jc w:val="right"/>
      <w:rPr>
        <w:b w:val="0"/>
      </w:rPr>
    </w:pPr>
    <w:r>
      <w:t>Page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rsidP="00C86FDD">
    <w:pPr>
      <w:pStyle w:val="HeadingTitle"/>
      <w:spacing w:before="480"/>
      <w:rPr>
        <w:b w:val="0"/>
      </w:rPr>
    </w:pPr>
    <w:r>
      <w:t>TABLE OF CONTENTS</w:t>
    </w:r>
  </w:p>
  <w:p w:rsidR="008F5BA3" w:rsidRDefault="008F5BA3" w:rsidP="00C86FDD">
    <w:pPr>
      <w:pStyle w:val="HeadingTitle"/>
      <w:ind w:right="90"/>
      <w:jc w:val="right"/>
      <w:rPr>
        <w:b w:val="0"/>
      </w:rPr>
    </w:pPr>
    <w:r>
      <w:t>Page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rsidP="00C86FDD">
    <w:pPr>
      <w:pStyle w:val="Header"/>
      <w:tabs>
        <w:tab w:val="clear" w:pos="4320"/>
        <w:tab w:val="center" w:pos="5040"/>
      </w:tabs>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A3" w:rsidRDefault="008F5BA3" w:rsidP="00C86F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46A40C6"/>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68004FD8"/>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D4147FFE"/>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C1B6F0FE"/>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52866D6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8A6D6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98F88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86638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B8864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2A60148"/>
    <w:lvl w:ilvl="0">
      <w:start w:val="1"/>
      <w:numFmt w:val="bullet"/>
      <w:lvlText w:val=""/>
      <w:lvlJc w:val="left"/>
      <w:pPr>
        <w:tabs>
          <w:tab w:val="num" w:pos="360"/>
        </w:tabs>
        <w:ind w:left="360" w:hanging="360"/>
      </w:pPr>
      <w:rPr>
        <w:rFonts w:ascii="Symbol" w:hAnsi="Symbol" w:hint="default"/>
      </w:rPr>
    </w:lvl>
  </w:abstractNum>
  <w:abstractNum w:abstractNumId="10">
    <w:nsid w:val="1C6D4100"/>
    <w:multiLevelType w:val="hybridMultilevel"/>
    <w:tmpl w:val="9FCC0366"/>
    <w:lvl w:ilvl="0" w:tplc="B7585D96">
      <w:start w:val="1"/>
      <w:numFmt w:val="decimal"/>
      <w:lvlText w:val="%1."/>
      <w:lvlJc w:val="left"/>
      <w:pPr>
        <w:tabs>
          <w:tab w:val="num" w:pos="720"/>
        </w:tabs>
        <w:ind w:firstLine="720"/>
      </w:pPr>
      <w:rPr>
        <w:rFonts w:ascii="Times New Roman" w:hAnsi="Times New Roman" w:cs="Times New Roman" w:hint="default"/>
        <w:sz w:val="24"/>
        <w:u w:val="none"/>
      </w:rPr>
    </w:lvl>
    <w:lvl w:ilvl="1" w:tplc="48960252" w:tentative="1">
      <w:start w:val="1"/>
      <w:numFmt w:val="lowerLetter"/>
      <w:lvlText w:val="%2."/>
      <w:lvlJc w:val="left"/>
      <w:pPr>
        <w:ind w:left="1800" w:hanging="360"/>
      </w:pPr>
      <w:rPr>
        <w:rFonts w:ascii="Times New Roman" w:hAnsi="Times New Roman" w:cs="Times New Roman"/>
        <w:sz w:val="24"/>
      </w:rPr>
    </w:lvl>
    <w:lvl w:ilvl="2" w:tplc="AFD03C1E" w:tentative="1">
      <w:start w:val="1"/>
      <w:numFmt w:val="lowerRoman"/>
      <w:lvlText w:val="%3."/>
      <w:lvlJc w:val="right"/>
      <w:pPr>
        <w:ind w:left="2520" w:hanging="180"/>
      </w:pPr>
      <w:rPr>
        <w:rFonts w:ascii="Times New Roman" w:hAnsi="Times New Roman" w:cs="Times New Roman"/>
        <w:sz w:val="24"/>
      </w:rPr>
    </w:lvl>
    <w:lvl w:ilvl="3" w:tplc="920C61E0" w:tentative="1">
      <w:start w:val="1"/>
      <w:numFmt w:val="decimal"/>
      <w:lvlText w:val="%4."/>
      <w:lvlJc w:val="left"/>
      <w:pPr>
        <w:ind w:left="3240" w:hanging="360"/>
      </w:pPr>
      <w:rPr>
        <w:rFonts w:ascii="Times New Roman" w:hAnsi="Times New Roman" w:cs="Times New Roman"/>
        <w:sz w:val="24"/>
      </w:rPr>
    </w:lvl>
    <w:lvl w:ilvl="4" w:tplc="28C42C54" w:tentative="1">
      <w:start w:val="1"/>
      <w:numFmt w:val="lowerLetter"/>
      <w:lvlText w:val="%5."/>
      <w:lvlJc w:val="left"/>
      <w:pPr>
        <w:ind w:left="3960" w:hanging="360"/>
      </w:pPr>
      <w:rPr>
        <w:rFonts w:ascii="Times New Roman" w:hAnsi="Times New Roman" w:cs="Times New Roman"/>
        <w:sz w:val="24"/>
      </w:rPr>
    </w:lvl>
    <w:lvl w:ilvl="5" w:tplc="5D26E4D0" w:tentative="1">
      <w:start w:val="1"/>
      <w:numFmt w:val="lowerRoman"/>
      <w:lvlText w:val="%6."/>
      <w:lvlJc w:val="right"/>
      <w:pPr>
        <w:ind w:left="4680" w:hanging="180"/>
      </w:pPr>
      <w:rPr>
        <w:rFonts w:ascii="Times New Roman" w:hAnsi="Times New Roman" w:cs="Times New Roman"/>
        <w:sz w:val="24"/>
      </w:rPr>
    </w:lvl>
    <w:lvl w:ilvl="6" w:tplc="482AF7B8" w:tentative="1">
      <w:start w:val="1"/>
      <w:numFmt w:val="decimal"/>
      <w:lvlText w:val="%7."/>
      <w:lvlJc w:val="left"/>
      <w:pPr>
        <w:ind w:left="5400" w:hanging="360"/>
      </w:pPr>
      <w:rPr>
        <w:rFonts w:ascii="Times New Roman" w:hAnsi="Times New Roman" w:cs="Times New Roman"/>
        <w:sz w:val="24"/>
      </w:rPr>
    </w:lvl>
    <w:lvl w:ilvl="7" w:tplc="7B76BEC8" w:tentative="1">
      <w:start w:val="1"/>
      <w:numFmt w:val="lowerLetter"/>
      <w:lvlText w:val="%8."/>
      <w:lvlJc w:val="left"/>
      <w:pPr>
        <w:ind w:left="6120" w:hanging="360"/>
      </w:pPr>
      <w:rPr>
        <w:rFonts w:ascii="Times New Roman" w:hAnsi="Times New Roman" w:cs="Times New Roman"/>
        <w:sz w:val="24"/>
      </w:rPr>
    </w:lvl>
    <w:lvl w:ilvl="8" w:tplc="83BA150C" w:tentative="1">
      <w:start w:val="1"/>
      <w:numFmt w:val="lowerRoman"/>
      <w:lvlText w:val="%9."/>
      <w:lvlJc w:val="right"/>
      <w:pPr>
        <w:ind w:left="6840" w:hanging="180"/>
      </w:pPr>
      <w:rPr>
        <w:rFonts w:ascii="Times New Roman" w:hAnsi="Times New Roman" w:cs="Times New Roman"/>
        <w:sz w:val="24"/>
      </w:rPr>
    </w:lvl>
  </w:abstractNum>
  <w:abstractNum w:abstractNumId="11">
    <w:nsid w:val="1D32449D"/>
    <w:multiLevelType w:val="multilevel"/>
    <w:tmpl w:val="50C878F4"/>
    <w:lvl w:ilvl="0">
      <w:start w:val="1"/>
      <w:numFmt w:val="decimal"/>
      <w:lvlText w:val="%1."/>
      <w:lvlJc w:val="left"/>
      <w:pPr>
        <w:tabs>
          <w:tab w:val="num" w:pos="720"/>
        </w:tabs>
        <w:ind w:firstLine="720"/>
      </w:pPr>
      <w:rPr>
        <w:rFonts w:ascii="Times New Roman" w:hAnsi="Times New Roman" w:cs="Times New Roman" w:hint="default"/>
        <w:sz w:val="24"/>
        <w:u w:val="none"/>
      </w:rPr>
    </w:lvl>
    <w:lvl w:ilvl="1">
      <w:start w:val="1"/>
      <w:numFmt w:val="lowerLetter"/>
      <w:lvlText w:val="%2."/>
      <w:lvlJc w:val="left"/>
      <w:pPr>
        <w:ind w:left="1800" w:hanging="360"/>
      </w:pPr>
      <w:rPr>
        <w:rFonts w:ascii="Times New Roman" w:hAnsi="Times New Roman" w:cs="Times New Roman"/>
        <w:sz w:val="24"/>
      </w:rPr>
    </w:lvl>
    <w:lvl w:ilvl="2">
      <w:start w:val="1"/>
      <w:numFmt w:val="lowerRoman"/>
      <w:lvlText w:val="%3."/>
      <w:lvlJc w:val="right"/>
      <w:pPr>
        <w:ind w:left="2520" w:hanging="180"/>
      </w:pPr>
      <w:rPr>
        <w:rFonts w:ascii="Times New Roman" w:hAnsi="Times New Roman" w:cs="Times New Roman"/>
        <w:sz w:val="24"/>
      </w:rPr>
    </w:lvl>
    <w:lvl w:ilvl="3">
      <w:start w:val="1"/>
      <w:numFmt w:val="decimal"/>
      <w:lvlText w:val="%4."/>
      <w:lvlJc w:val="left"/>
      <w:pPr>
        <w:ind w:left="3240" w:hanging="360"/>
      </w:pPr>
      <w:rPr>
        <w:rFonts w:ascii="Times New Roman" w:hAnsi="Times New Roman" w:cs="Times New Roman"/>
        <w:sz w:val="24"/>
      </w:rPr>
    </w:lvl>
    <w:lvl w:ilvl="4">
      <w:start w:val="1"/>
      <w:numFmt w:val="lowerLetter"/>
      <w:lvlText w:val="%5."/>
      <w:lvlJc w:val="left"/>
      <w:pPr>
        <w:ind w:left="3960" w:hanging="360"/>
      </w:pPr>
      <w:rPr>
        <w:rFonts w:ascii="Times New Roman" w:hAnsi="Times New Roman" w:cs="Times New Roman"/>
        <w:sz w:val="24"/>
      </w:rPr>
    </w:lvl>
    <w:lvl w:ilvl="5">
      <w:start w:val="1"/>
      <w:numFmt w:val="lowerRoman"/>
      <w:lvlText w:val="%6."/>
      <w:lvlJc w:val="right"/>
      <w:pPr>
        <w:ind w:left="4680" w:hanging="180"/>
      </w:pPr>
      <w:rPr>
        <w:rFonts w:ascii="Times New Roman" w:hAnsi="Times New Roman" w:cs="Times New Roman"/>
        <w:sz w:val="24"/>
      </w:rPr>
    </w:lvl>
    <w:lvl w:ilvl="6">
      <w:start w:val="1"/>
      <w:numFmt w:val="decimal"/>
      <w:lvlText w:val="%7."/>
      <w:lvlJc w:val="left"/>
      <w:pPr>
        <w:ind w:left="5400" w:hanging="360"/>
      </w:pPr>
      <w:rPr>
        <w:rFonts w:ascii="Times New Roman" w:hAnsi="Times New Roman" w:cs="Times New Roman"/>
        <w:sz w:val="24"/>
      </w:rPr>
    </w:lvl>
    <w:lvl w:ilvl="7">
      <w:start w:val="1"/>
      <w:numFmt w:val="lowerLetter"/>
      <w:lvlText w:val="%8."/>
      <w:lvlJc w:val="left"/>
      <w:pPr>
        <w:ind w:left="6120" w:hanging="360"/>
      </w:pPr>
      <w:rPr>
        <w:rFonts w:ascii="Times New Roman" w:hAnsi="Times New Roman" w:cs="Times New Roman"/>
        <w:sz w:val="24"/>
      </w:rPr>
    </w:lvl>
    <w:lvl w:ilvl="8">
      <w:start w:val="1"/>
      <w:numFmt w:val="lowerRoman"/>
      <w:lvlText w:val="%9."/>
      <w:lvlJc w:val="right"/>
      <w:pPr>
        <w:ind w:left="6840" w:hanging="180"/>
      </w:pPr>
      <w:rPr>
        <w:rFonts w:ascii="Times New Roman" w:hAnsi="Times New Roman" w:cs="Times New Roman"/>
        <w:sz w:val="24"/>
      </w:rPr>
    </w:lvl>
  </w:abstractNum>
  <w:abstractNum w:abstractNumId="12">
    <w:nsid w:val="25741564"/>
    <w:multiLevelType w:val="multilevel"/>
    <w:tmpl w:val="272C3DC2"/>
    <w:lvl w:ilvl="0">
      <w:start w:val="1"/>
      <w:numFmt w:val="decimal"/>
      <w:lvlText w:val="%1."/>
      <w:lvlJc w:val="left"/>
      <w:pPr>
        <w:tabs>
          <w:tab w:val="num" w:pos="720"/>
        </w:tabs>
        <w:ind w:firstLine="720"/>
      </w:pPr>
      <w:rPr>
        <w:rFonts w:ascii="Times New Roman" w:hAnsi="Times New Roman" w:cs="Times New Roman" w:hint="default"/>
        <w:sz w:val="24"/>
        <w:u w:val="none"/>
      </w:rPr>
    </w:lvl>
    <w:lvl w:ilvl="1">
      <w:start w:val="1"/>
      <w:numFmt w:val="lowerLetter"/>
      <w:lvlText w:val="%2."/>
      <w:lvlJc w:val="left"/>
      <w:pPr>
        <w:ind w:left="1800" w:hanging="360"/>
      </w:pPr>
      <w:rPr>
        <w:rFonts w:ascii="Times New Roman" w:hAnsi="Times New Roman" w:cs="Times New Roman"/>
        <w:sz w:val="24"/>
      </w:rPr>
    </w:lvl>
    <w:lvl w:ilvl="2">
      <w:start w:val="1"/>
      <w:numFmt w:val="lowerRoman"/>
      <w:lvlText w:val="%3."/>
      <w:lvlJc w:val="right"/>
      <w:pPr>
        <w:ind w:left="2520" w:hanging="180"/>
      </w:pPr>
      <w:rPr>
        <w:rFonts w:ascii="Times New Roman" w:hAnsi="Times New Roman" w:cs="Times New Roman"/>
        <w:sz w:val="24"/>
      </w:rPr>
    </w:lvl>
    <w:lvl w:ilvl="3">
      <w:start w:val="1"/>
      <w:numFmt w:val="decimal"/>
      <w:lvlText w:val="%4."/>
      <w:lvlJc w:val="left"/>
      <w:pPr>
        <w:ind w:left="3240" w:hanging="360"/>
      </w:pPr>
      <w:rPr>
        <w:rFonts w:ascii="Times New Roman" w:hAnsi="Times New Roman" w:cs="Times New Roman"/>
        <w:sz w:val="24"/>
      </w:rPr>
    </w:lvl>
    <w:lvl w:ilvl="4">
      <w:start w:val="1"/>
      <w:numFmt w:val="lowerLetter"/>
      <w:lvlText w:val="%5."/>
      <w:lvlJc w:val="left"/>
      <w:pPr>
        <w:ind w:left="3960" w:hanging="360"/>
      </w:pPr>
      <w:rPr>
        <w:rFonts w:ascii="Times New Roman" w:hAnsi="Times New Roman" w:cs="Times New Roman"/>
        <w:sz w:val="24"/>
      </w:rPr>
    </w:lvl>
    <w:lvl w:ilvl="5">
      <w:start w:val="1"/>
      <w:numFmt w:val="lowerRoman"/>
      <w:lvlText w:val="%6."/>
      <w:lvlJc w:val="right"/>
      <w:pPr>
        <w:ind w:left="4680" w:hanging="180"/>
      </w:pPr>
      <w:rPr>
        <w:rFonts w:ascii="Times New Roman" w:hAnsi="Times New Roman" w:cs="Times New Roman"/>
        <w:sz w:val="24"/>
      </w:rPr>
    </w:lvl>
    <w:lvl w:ilvl="6">
      <w:start w:val="1"/>
      <w:numFmt w:val="decimal"/>
      <w:lvlText w:val="%7."/>
      <w:lvlJc w:val="left"/>
      <w:pPr>
        <w:ind w:left="5400" w:hanging="360"/>
      </w:pPr>
      <w:rPr>
        <w:rFonts w:ascii="Times New Roman" w:hAnsi="Times New Roman" w:cs="Times New Roman"/>
        <w:sz w:val="24"/>
      </w:rPr>
    </w:lvl>
    <w:lvl w:ilvl="7">
      <w:start w:val="1"/>
      <w:numFmt w:val="lowerLetter"/>
      <w:lvlText w:val="%8."/>
      <w:lvlJc w:val="left"/>
      <w:pPr>
        <w:ind w:left="6120" w:hanging="360"/>
      </w:pPr>
      <w:rPr>
        <w:rFonts w:ascii="Times New Roman" w:hAnsi="Times New Roman" w:cs="Times New Roman"/>
        <w:sz w:val="24"/>
      </w:rPr>
    </w:lvl>
    <w:lvl w:ilvl="8">
      <w:start w:val="1"/>
      <w:numFmt w:val="lowerRoman"/>
      <w:lvlText w:val="%9."/>
      <w:lvlJc w:val="right"/>
      <w:pPr>
        <w:ind w:left="6840" w:hanging="180"/>
      </w:pPr>
      <w:rPr>
        <w:rFonts w:ascii="Times New Roman" w:hAnsi="Times New Roman" w:cs="Times New Roman"/>
        <w:sz w:val="24"/>
      </w:rPr>
    </w:lvl>
  </w:abstractNum>
  <w:abstractNum w:abstractNumId="13">
    <w:nsid w:val="3A185EEF"/>
    <w:multiLevelType w:val="multilevel"/>
    <w:tmpl w:val="BA98FC02"/>
    <w:lvl w:ilvl="0">
      <w:start w:val="1"/>
      <w:numFmt w:val="upperLetter"/>
      <w:lvlRestart w:val="0"/>
      <w:lvlText w:val="%1."/>
      <w:lvlJc w:val="left"/>
      <w:pPr>
        <w:tabs>
          <w:tab w:val="num" w:pos="720"/>
        </w:tabs>
      </w:pPr>
      <w:rPr>
        <w:rFonts w:ascii="Times New Roman" w:hAnsi="Times New Roman" w:cs="Times New Roman" w:hint="default"/>
        <w:b w:val="0"/>
        <w:i w:val="0"/>
        <w:sz w:val="24"/>
        <w:u w:val="none"/>
      </w:rPr>
    </w:lvl>
    <w:lvl w:ilvl="1">
      <w:start w:val="1"/>
      <w:numFmt w:val="decimal"/>
      <w:lvlText w:val="%2."/>
      <w:lvlJc w:val="left"/>
      <w:pPr>
        <w:tabs>
          <w:tab w:val="num" w:pos="1440"/>
        </w:tabs>
        <w:ind w:firstLine="720"/>
      </w:pPr>
      <w:rPr>
        <w:rFonts w:ascii="Times New Roman" w:hAnsi="Times New Roman" w:cs="Times New Roman" w:hint="default"/>
        <w:b w:val="0"/>
        <w:i w:val="0"/>
        <w:sz w:val="24"/>
        <w:u w:val="none"/>
      </w:rPr>
    </w:lvl>
    <w:lvl w:ilvl="2">
      <w:start w:val="1"/>
      <w:numFmt w:val="lowerLetter"/>
      <w:lvlText w:val="%3."/>
      <w:lvlJc w:val="left"/>
      <w:pPr>
        <w:tabs>
          <w:tab w:val="num" w:pos="2160"/>
        </w:tabs>
        <w:ind w:firstLine="1440"/>
      </w:pPr>
      <w:rPr>
        <w:rFonts w:ascii="Times New Roman" w:hAnsi="Times New Roman" w:cs="Times New Roman" w:hint="default"/>
        <w:sz w:val="24"/>
        <w:u w:val="none"/>
      </w:rPr>
    </w:lvl>
    <w:lvl w:ilvl="3">
      <w:start w:val="1"/>
      <w:numFmt w:val="lowerRoman"/>
      <w:lvlText w:val="(%4)"/>
      <w:lvlJc w:val="left"/>
      <w:pPr>
        <w:tabs>
          <w:tab w:val="num" w:pos="3600"/>
        </w:tabs>
        <w:ind w:left="1440" w:firstLine="1440"/>
      </w:pPr>
      <w:rPr>
        <w:rFonts w:ascii="Times New Roman" w:hAnsi="Times New Roman" w:cs="Times New Roman" w:hint="default"/>
        <w:sz w:val="24"/>
        <w:u w:val="none"/>
      </w:rPr>
    </w:lvl>
    <w:lvl w:ilvl="4">
      <w:start w:val="1"/>
      <w:numFmt w:val="upperLetter"/>
      <w:lvlText w:val="(%5)"/>
      <w:lvlJc w:val="left"/>
      <w:pPr>
        <w:tabs>
          <w:tab w:val="num" w:pos="4320"/>
        </w:tabs>
        <w:ind w:left="2160" w:firstLine="1440"/>
      </w:pPr>
      <w:rPr>
        <w:rFonts w:ascii="Times New Roman" w:hAnsi="Times New Roman" w:cs="Times New Roman" w:hint="default"/>
        <w:sz w:val="24"/>
        <w:u w:val="none"/>
      </w:rPr>
    </w:lvl>
    <w:lvl w:ilvl="5">
      <w:start w:val="1"/>
      <w:numFmt w:val="decimal"/>
      <w:lvlText w:val="(%6)"/>
      <w:lvlJc w:val="left"/>
      <w:pPr>
        <w:tabs>
          <w:tab w:val="num" w:pos="5040"/>
        </w:tabs>
        <w:ind w:left="2880" w:firstLine="1440"/>
      </w:pPr>
      <w:rPr>
        <w:rFonts w:ascii="Times New Roman" w:hAnsi="Times New Roman" w:cs="Times New Roman" w:hint="default"/>
        <w:b w:val="0"/>
        <w:sz w:val="24"/>
        <w:u w:val="none"/>
      </w:rPr>
    </w:lvl>
    <w:lvl w:ilvl="6">
      <w:start w:val="1"/>
      <w:numFmt w:val="lowerLetter"/>
      <w:lvlText w:val="%7)"/>
      <w:lvlJc w:val="left"/>
      <w:pPr>
        <w:tabs>
          <w:tab w:val="num" w:pos="5760"/>
        </w:tabs>
        <w:ind w:left="3600" w:firstLine="1440"/>
      </w:pPr>
      <w:rPr>
        <w:rFonts w:ascii="Times New Roman" w:hAnsi="Times New Roman" w:cs="Times New Roman" w:hint="default"/>
        <w:b w:val="0"/>
        <w:sz w:val="24"/>
        <w:u w:val="none"/>
      </w:rPr>
    </w:lvl>
    <w:lvl w:ilvl="7">
      <w:start w:val="1"/>
      <w:numFmt w:val="lowerLetter"/>
      <w:lvlText w:val="%8."/>
      <w:lvlJc w:val="left"/>
      <w:pPr>
        <w:tabs>
          <w:tab w:val="num" w:pos="6480"/>
        </w:tabs>
        <w:ind w:left="4320" w:firstLine="1440"/>
      </w:pPr>
      <w:rPr>
        <w:rFonts w:ascii="Times New Roman" w:hAnsi="Times New Roman" w:cs="Times New Roman" w:hint="default"/>
        <w:b w:val="0"/>
        <w:sz w:val="24"/>
        <w:u w:val="none"/>
      </w:rPr>
    </w:lvl>
    <w:lvl w:ilvl="8">
      <w:start w:val="1"/>
      <w:numFmt w:val="lowerRoman"/>
      <w:lvlText w:val="%9."/>
      <w:lvlJc w:val="left"/>
      <w:pPr>
        <w:tabs>
          <w:tab w:val="num" w:pos="7200"/>
        </w:tabs>
        <w:ind w:left="5040" w:firstLine="1440"/>
      </w:pPr>
      <w:rPr>
        <w:rFonts w:ascii="Times New Roman" w:hAnsi="Times New Roman" w:cs="Times New Roman" w:hint="default"/>
        <w:b w:val="0"/>
        <w:sz w:val="24"/>
        <w:u w:val="none"/>
      </w:rPr>
    </w:lvl>
  </w:abstractNum>
  <w:abstractNum w:abstractNumId="14">
    <w:nsid w:val="3C9B3C4B"/>
    <w:multiLevelType w:val="multilevel"/>
    <w:tmpl w:val="E2C0A112"/>
    <w:lvl w:ilvl="0">
      <w:start w:val="1"/>
      <w:numFmt w:val="decimal"/>
      <w:lvlText w:val="%1."/>
      <w:lvlJc w:val="left"/>
      <w:pPr>
        <w:tabs>
          <w:tab w:val="num" w:pos="1440"/>
        </w:tabs>
        <w:ind w:firstLine="720"/>
      </w:pPr>
      <w:rPr>
        <w:rFonts w:cs="Times New Roman"/>
      </w:rPr>
    </w:lvl>
    <w:lvl w:ilvl="1">
      <w:start w:val="1"/>
      <w:numFmt w:val="lowerLetter"/>
      <w:lvlText w:val="%2."/>
      <w:lvlJc w:val="left"/>
      <w:pPr>
        <w:tabs>
          <w:tab w:val="num" w:pos="1800"/>
        </w:tabs>
        <w:ind w:firstLine="1440"/>
      </w:pPr>
      <w:rPr>
        <w:rFonts w:cs="Times New Roman"/>
      </w:rPr>
    </w:lvl>
    <w:lvl w:ilvl="2">
      <w:start w:val="1"/>
      <w:numFmt w:val="lowerRoman"/>
      <w:lvlText w:val="%3)"/>
      <w:lvlJc w:val="left"/>
      <w:pPr>
        <w:tabs>
          <w:tab w:val="num" w:pos="2880"/>
        </w:tabs>
        <w:ind w:firstLine="2160"/>
      </w:pPr>
      <w:rPr>
        <w:rFonts w:cs="Times New Roman"/>
      </w:rPr>
    </w:lvl>
    <w:lvl w:ilvl="3">
      <w:start w:val="1"/>
      <w:numFmt w:val="decimal"/>
      <w:lvlText w:val="(%4)"/>
      <w:lvlJc w:val="left"/>
      <w:pPr>
        <w:tabs>
          <w:tab w:val="num" w:pos="3240"/>
        </w:tabs>
        <w:ind w:firstLine="2880"/>
      </w:pPr>
      <w:rPr>
        <w:rFonts w:cs="Times New Roman"/>
      </w:rPr>
    </w:lvl>
    <w:lvl w:ilvl="4">
      <w:start w:val="1"/>
      <w:numFmt w:val="lowerLetter"/>
      <w:lvlText w:val="(%5)"/>
      <w:lvlJc w:val="left"/>
      <w:pPr>
        <w:tabs>
          <w:tab w:val="num" w:pos="3960"/>
        </w:tabs>
        <w:ind w:left="720" w:firstLine="2880"/>
      </w:pPr>
      <w:rPr>
        <w:rFonts w:cs="Times New Roman"/>
      </w:rPr>
    </w:lvl>
    <w:lvl w:ilvl="5">
      <w:start w:val="1"/>
      <w:numFmt w:val="lowerRoman"/>
      <w:lvlText w:val="(%6)"/>
      <w:lvlJc w:val="left"/>
      <w:pPr>
        <w:tabs>
          <w:tab w:val="num" w:pos="5040"/>
        </w:tabs>
        <w:ind w:left="720" w:firstLine="3600"/>
      </w:pPr>
      <w:rPr>
        <w:rFonts w:cs="Times New Roman"/>
      </w:rPr>
    </w:lvl>
    <w:lvl w:ilvl="6">
      <w:start w:val="1"/>
      <w:numFmt w:val="decimal"/>
      <w:lvlText w:val="%7."/>
      <w:lvlJc w:val="left"/>
      <w:pPr>
        <w:tabs>
          <w:tab w:val="num" w:pos="5400"/>
        </w:tabs>
        <w:ind w:left="1440" w:firstLine="3600"/>
      </w:pPr>
      <w:rPr>
        <w:rFonts w:cs="Times New Roman"/>
      </w:rPr>
    </w:lvl>
    <w:lvl w:ilvl="7">
      <w:start w:val="1"/>
      <w:numFmt w:val="lowerLetter"/>
      <w:lvlText w:val="%8."/>
      <w:lvlJc w:val="left"/>
      <w:pPr>
        <w:tabs>
          <w:tab w:val="num" w:pos="6120"/>
        </w:tabs>
        <w:ind w:left="2160" w:firstLine="3600"/>
      </w:pPr>
      <w:rPr>
        <w:rFonts w:cs="Times New Roman"/>
      </w:rPr>
    </w:lvl>
    <w:lvl w:ilvl="8">
      <w:start w:val="1"/>
      <w:numFmt w:val="lowerRoman"/>
      <w:lvlText w:val="%9."/>
      <w:lvlJc w:val="left"/>
      <w:pPr>
        <w:tabs>
          <w:tab w:val="num" w:pos="7200"/>
        </w:tabs>
        <w:ind w:left="2880" w:firstLine="3600"/>
      </w:pPr>
      <w:rPr>
        <w:rFonts w:cs="Times New Roman"/>
      </w:rPr>
    </w:lvl>
  </w:abstractNum>
  <w:abstractNum w:abstractNumId="15">
    <w:nsid w:val="3D301EFB"/>
    <w:multiLevelType w:val="multilevel"/>
    <w:tmpl w:val="C51655A2"/>
    <w:lvl w:ilvl="0">
      <w:start w:val="1"/>
      <w:numFmt w:val="decimal"/>
      <w:lvlText w:val="%1."/>
      <w:lvlJc w:val="left"/>
      <w:pPr>
        <w:tabs>
          <w:tab w:val="num" w:pos="720"/>
        </w:tabs>
        <w:ind w:firstLine="720"/>
      </w:pPr>
      <w:rPr>
        <w:rFonts w:ascii="Times New Roman" w:hAnsi="Times New Roman" w:cs="Times New Roman" w:hint="default"/>
        <w:sz w:val="24"/>
        <w:u w:val="none"/>
      </w:rPr>
    </w:lvl>
    <w:lvl w:ilvl="1">
      <w:start w:val="1"/>
      <w:numFmt w:val="lowerLetter"/>
      <w:lvlText w:val="%2."/>
      <w:lvlJc w:val="left"/>
      <w:pPr>
        <w:ind w:left="1800" w:hanging="360"/>
      </w:pPr>
      <w:rPr>
        <w:rFonts w:ascii="Times New Roman" w:hAnsi="Times New Roman" w:cs="Times New Roman"/>
        <w:sz w:val="24"/>
      </w:rPr>
    </w:lvl>
    <w:lvl w:ilvl="2">
      <w:start w:val="1"/>
      <w:numFmt w:val="lowerRoman"/>
      <w:lvlText w:val="%3."/>
      <w:lvlJc w:val="right"/>
      <w:pPr>
        <w:ind w:left="2520" w:hanging="180"/>
      </w:pPr>
      <w:rPr>
        <w:rFonts w:ascii="Times New Roman" w:hAnsi="Times New Roman" w:cs="Times New Roman"/>
        <w:sz w:val="24"/>
      </w:rPr>
    </w:lvl>
    <w:lvl w:ilvl="3">
      <w:start w:val="1"/>
      <w:numFmt w:val="decimal"/>
      <w:lvlText w:val="%4."/>
      <w:lvlJc w:val="left"/>
      <w:pPr>
        <w:ind w:left="3240" w:hanging="360"/>
      </w:pPr>
      <w:rPr>
        <w:rFonts w:ascii="Times New Roman" w:hAnsi="Times New Roman" w:cs="Times New Roman"/>
        <w:sz w:val="24"/>
      </w:rPr>
    </w:lvl>
    <w:lvl w:ilvl="4">
      <w:start w:val="1"/>
      <w:numFmt w:val="lowerLetter"/>
      <w:lvlText w:val="%5."/>
      <w:lvlJc w:val="left"/>
      <w:pPr>
        <w:ind w:left="3960" w:hanging="360"/>
      </w:pPr>
      <w:rPr>
        <w:rFonts w:ascii="Times New Roman" w:hAnsi="Times New Roman" w:cs="Times New Roman"/>
        <w:sz w:val="24"/>
      </w:rPr>
    </w:lvl>
    <w:lvl w:ilvl="5">
      <w:start w:val="1"/>
      <w:numFmt w:val="lowerRoman"/>
      <w:lvlText w:val="%6."/>
      <w:lvlJc w:val="right"/>
      <w:pPr>
        <w:ind w:left="4680" w:hanging="180"/>
      </w:pPr>
      <w:rPr>
        <w:rFonts w:ascii="Times New Roman" w:hAnsi="Times New Roman" w:cs="Times New Roman"/>
        <w:sz w:val="24"/>
      </w:rPr>
    </w:lvl>
    <w:lvl w:ilvl="6">
      <w:start w:val="1"/>
      <w:numFmt w:val="decimal"/>
      <w:lvlText w:val="%7."/>
      <w:lvlJc w:val="left"/>
      <w:pPr>
        <w:ind w:left="5400" w:hanging="360"/>
      </w:pPr>
      <w:rPr>
        <w:rFonts w:ascii="Times New Roman" w:hAnsi="Times New Roman" w:cs="Times New Roman"/>
        <w:sz w:val="24"/>
      </w:rPr>
    </w:lvl>
    <w:lvl w:ilvl="7">
      <w:start w:val="1"/>
      <w:numFmt w:val="lowerLetter"/>
      <w:lvlText w:val="%8."/>
      <w:lvlJc w:val="left"/>
      <w:pPr>
        <w:ind w:left="6120" w:hanging="360"/>
      </w:pPr>
      <w:rPr>
        <w:rFonts w:ascii="Times New Roman" w:hAnsi="Times New Roman" w:cs="Times New Roman"/>
        <w:sz w:val="24"/>
      </w:rPr>
    </w:lvl>
    <w:lvl w:ilvl="8">
      <w:start w:val="1"/>
      <w:numFmt w:val="lowerRoman"/>
      <w:lvlText w:val="%9."/>
      <w:lvlJc w:val="right"/>
      <w:pPr>
        <w:ind w:left="6840" w:hanging="180"/>
      </w:pPr>
      <w:rPr>
        <w:rFonts w:ascii="Times New Roman" w:hAnsi="Times New Roman" w:cs="Times New Roman"/>
        <w:sz w:val="24"/>
      </w:rPr>
    </w:lvl>
  </w:abstractNum>
  <w:abstractNum w:abstractNumId="16">
    <w:nsid w:val="5D0C6F99"/>
    <w:multiLevelType w:val="multilevel"/>
    <w:tmpl w:val="E99A6B08"/>
    <w:lvl w:ilvl="0">
      <w:start w:val="1"/>
      <w:numFmt w:val="decimal"/>
      <w:lvlText w:val="%1."/>
      <w:lvlJc w:val="left"/>
      <w:pPr>
        <w:tabs>
          <w:tab w:val="num" w:pos="720"/>
        </w:tabs>
        <w:ind w:firstLine="720"/>
      </w:pPr>
      <w:rPr>
        <w:rFonts w:ascii="Times New Roman" w:hAnsi="Times New Roman" w:cs="Times New Roman" w:hint="default"/>
        <w:sz w:val="24"/>
        <w:u w:val="none"/>
      </w:rPr>
    </w:lvl>
    <w:lvl w:ilvl="1">
      <w:start w:val="1"/>
      <w:numFmt w:val="lowerLetter"/>
      <w:lvlText w:val="%2."/>
      <w:lvlJc w:val="left"/>
      <w:pPr>
        <w:ind w:left="1800" w:hanging="360"/>
      </w:pPr>
      <w:rPr>
        <w:rFonts w:ascii="Times New Roman" w:hAnsi="Times New Roman" w:cs="Times New Roman"/>
        <w:sz w:val="24"/>
      </w:rPr>
    </w:lvl>
    <w:lvl w:ilvl="2">
      <w:start w:val="1"/>
      <w:numFmt w:val="lowerRoman"/>
      <w:lvlText w:val="%3."/>
      <w:lvlJc w:val="right"/>
      <w:pPr>
        <w:ind w:left="2520" w:hanging="180"/>
      </w:pPr>
      <w:rPr>
        <w:rFonts w:ascii="Times New Roman" w:hAnsi="Times New Roman" w:cs="Times New Roman"/>
        <w:sz w:val="24"/>
      </w:rPr>
    </w:lvl>
    <w:lvl w:ilvl="3">
      <w:start w:val="1"/>
      <w:numFmt w:val="decimal"/>
      <w:lvlText w:val="%4."/>
      <w:lvlJc w:val="left"/>
      <w:pPr>
        <w:ind w:left="3240" w:hanging="360"/>
      </w:pPr>
      <w:rPr>
        <w:rFonts w:ascii="Times New Roman" w:hAnsi="Times New Roman" w:cs="Times New Roman"/>
        <w:sz w:val="24"/>
      </w:rPr>
    </w:lvl>
    <w:lvl w:ilvl="4">
      <w:start w:val="1"/>
      <w:numFmt w:val="lowerLetter"/>
      <w:lvlText w:val="%5."/>
      <w:lvlJc w:val="left"/>
      <w:pPr>
        <w:ind w:left="3960" w:hanging="360"/>
      </w:pPr>
      <w:rPr>
        <w:rFonts w:ascii="Times New Roman" w:hAnsi="Times New Roman" w:cs="Times New Roman"/>
        <w:sz w:val="24"/>
      </w:rPr>
    </w:lvl>
    <w:lvl w:ilvl="5">
      <w:start w:val="1"/>
      <w:numFmt w:val="lowerRoman"/>
      <w:lvlText w:val="%6."/>
      <w:lvlJc w:val="right"/>
      <w:pPr>
        <w:ind w:left="4680" w:hanging="180"/>
      </w:pPr>
      <w:rPr>
        <w:rFonts w:ascii="Times New Roman" w:hAnsi="Times New Roman" w:cs="Times New Roman"/>
        <w:sz w:val="24"/>
      </w:rPr>
    </w:lvl>
    <w:lvl w:ilvl="6">
      <w:start w:val="1"/>
      <w:numFmt w:val="decimal"/>
      <w:lvlText w:val="%7."/>
      <w:lvlJc w:val="left"/>
      <w:pPr>
        <w:ind w:left="5400" w:hanging="360"/>
      </w:pPr>
      <w:rPr>
        <w:rFonts w:ascii="Times New Roman" w:hAnsi="Times New Roman" w:cs="Times New Roman"/>
        <w:sz w:val="24"/>
      </w:rPr>
    </w:lvl>
    <w:lvl w:ilvl="7">
      <w:start w:val="1"/>
      <w:numFmt w:val="lowerLetter"/>
      <w:lvlText w:val="%8."/>
      <w:lvlJc w:val="left"/>
      <w:pPr>
        <w:ind w:left="6120" w:hanging="360"/>
      </w:pPr>
      <w:rPr>
        <w:rFonts w:ascii="Times New Roman" w:hAnsi="Times New Roman" w:cs="Times New Roman"/>
        <w:sz w:val="24"/>
      </w:rPr>
    </w:lvl>
    <w:lvl w:ilvl="8">
      <w:start w:val="1"/>
      <w:numFmt w:val="lowerRoman"/>
      <w:lvlText w:val="%9."/>
      <w:lvlJc w:val="right"/>
      <w:pPr>
        <w:ind w:left="6840" w:hanging="180"/>
      </w:pPr>
      <w:rPr>
        <w:rFonts w:ascii="Times New Roman" w:hAnsi="Times New Roman" w:cs="Times New Roman"/>
        <w:sz w:val="24"/>
      </w:rPr>
    </w:lvl>
  </w:abstractNum>
  <w:abstractNum w:abstractNumId="17">
    <w:nsid w:val="67336A13"/>
    <w:multiLevelType w:val="multilevel"/>
    <w:tmpl w:val="272C3DC2"/>
    <w:lvl w:ilvl="0">
      <w:start w:val="1"/>
      <w:numFmt w:val="decimal"/>
      <w:lvlText w:val="%1."/>
      <w:lvlJc w:val="left"/>
      <w:pPr>
        <w:tabs>
          <w:tab w:val="num" w:pos="720"/>
        </w:tabs>
        <w:ind w:firstLine="720"/>
      </w:pPr>
      <w:rPr>
        <w:rFonts w:ascii="Times New Roman" w:hAnsi="Times New Roman" w:cs="Times New Roman" w:hint="default"/>
        <w:b w:val="0"/>
        <w:i w:val="0"/>
        <w:sz w:val="24"/>
        <w:u w:val="none"/>
      </w:rPr>
    </w:lvl>
    <w:lvl w:ilvl="1" w:tentative="1">
      <w:start w:val="1"/>
      <w:numFmt w:val="lowerLetter"/>
      <w:lvlText w:val="%2."/>
      <w:lvlJc w:val="left"/>
      <w:pPr>
        <w:ind w:left="1800" w:hanging="360"/>
      </w:pPr>
      <w:rPr>
        <w:rFonts w:ascii="Times New Roman" w:hAnsi="Times New Roman" w:cs="Times New Roman" w:hint="default"/>
        <w:b w:val="0"/>
        <w:i w:val="0"/>
        <w:sz w:val="24"/>
        <w:u w:val="none"/>
      </w:rPr>
    </w:lvl>
    <w:lvl w:ilvl="2" w:tentative="1">
      <w:start w:val="1"/>
      <w:numFmt w:val="lowerRoman"/>
      <w:lvlText w:val="%3."/>
      <w:lvlJc w:val="right"/>
      <w:pPr>
        <w:ind w:left="2520" w:hanging="180"/>
      </w:pPr>
      <w:rPr>
        <w:rFonts w:ascii="Times New Roman" w:hAnsi="Times New Roman" w:cs="Times New Roman" w:hint="default"/>
        <w:sz w:val="24"/>
        <w:u w:val="none"/>
      </w:rPr>
    </w:lvl>
    <w:lvl w:ilvl="3" w:tentative="1">
      <w:start w:val="1"/>
      <w:numFmt w:val="decimal"/>
      <w:lvlText w:val="%4."/>
      <w:lvlJc w:val="left"/>
      <w:pPr>
        <w:ind w:left="3240" w:hanging="360"/>
      </w:pPr>
      <w:rPr>
        <w:rFonts w:ascii="Times New Roman" w:hAnsi="Times New Roman" w:cs="Times New Roman" w:hint="default"/>
        <w:sz w:val="24"/>
        <w:u w:val="none"/>
      </w:rPr>
    </w:lvl>
    <w:lvl w:ilvl="4" w:tentative="1">
      <w:start w:val="1"/>
      <w:numFmt w:val="lowerLetter"/>
      <w:lvlText w:val="%5."/>
      <w:lvlJc w:val="left"/>
      <w:pPr>
        <w:ind w:left="3960" w:hanging="360"/>
      </w:pPr>
      <w:rPr>
        <w:rFonts w:ascii="Times New Roman" w:hAnsi="Times New Roman" w:cs="Times New Roman" w:hint="default"/>
        <w:sz w:val="24"/>
        <w:u w:val="none"/>
      </w:rPr>
    </w:lvl>
    <w:lvl w:ilvl="5" w:tentative="1">
      <w:start w:val="1"/>
      <w:numFmt w:val="lowerRoman"/>
      <w:lvlText w:val="%6."/>
      <w:lvlJc w:val="right"/>
      <w:pPr>
        <w:ind w:left="4680" w:hanging="180"/>
      </w:pPr>
      <w:rPr>
        <w:rFonts w:ascii="Times New Roman" w:hAnsi="Times New Roman" w:cs="Times New Roman" w:hint="default"/>
        <w:b w:val="0"/>
        <w:sz w:val="24"/>
        <w:u w:val="none"/>
      </w:rPr>
    </w:lvl>
    <w:lvl w:ilvl="6" w:tentative="1">
      <w:start w:val="1"/>
      <w:numFmt w:val="decimal"/>
      <w:lvlText w:val="%7."/>
      <w:lvlJc w:val="left"/>
      <w:pPr>
        <w:ind w:left="5400" w:hanging="360"/>
      </w:pPr>
      <w:rPr>
        <w:rFonts w:ascii="Times New Roman" w:hAnsi="Times New Roman" w:cs="Times New Roman" w:hint="default"/>
        <w:b w:val="0"/>
        <w:sz w:val="24"/>
        <w:u w:val="none"/>
      </w:rPr>
    </w:lvl>
    <w:lvl w:ilvl="7" w:tentative="1">
      <w:start w:val="1"/>
      <w:numFmt w:val="lowerLetter"/>
      <w:lvlText w:val="%8."/>
      <w:lvlJc w:val="left"/>
      <w:pPr>
        <w:ind w:left="6120" w:hanging="360"/>
      </w:pPr>
      <w:rPr>
        <w:rFonts w:ascii="Times New Roman" w:hAnsi="Times New Roman" w:cs="Times New Roman" w:hint="default"/>
        <w:b w:val="0"/>
        <w:sz w:val="24"/>
        <w:u w:val="none"/>
      </w:rPr>
    </w:lvl>
    <w:lvl w:ilvl="8" w:tentative="1">
      <w:start w:val="1"/>
      <w:numFmt w:val="lowerRoman"/>
      <w:lvlText w:val="%9."/>
      <w:lvlJc w:val="right"/>
      <w:pPr>
        <w:ind w:left="6840" w:hanging="180"/>
      </w:pPr>
      <w:rPr>
        <w:rFonts w:ascii="Times New Roman" w:hAnsi="Times New Roman" w:cs="Times New Roman" w:hint="default"/>
        <w:b w:val="0"/>
        <w:sz w:val="24"/>
        <w:u w:val="none"/>
      </w:rPr>
    </w:lvl>
  </w:abstractNum>
  <w:abstractNum w:abstractNumId="18">
    <w:nsid w:val="6D702E74"/>
    <w:multiLevelType w:val="hybridMultilevel"/>
    <w:tmpl w:val="7B447B90"/>
    <w:lvl w:ilvl="0" w:tplc="7736D474">
      <w:start w:val="1"/>
      <w:numFmt w:val="decimal"/>
      <w:pStyle w:val="Heading1"/>
      <w:lvlText w:val="%1."/>
      <w:lvlJc w:val="left"/>
      <w:pPr>
        <w:tabs>
          <w:tab w:val="num" w:pos="720"/>
        </w:tabs>
        <w:ind w:left="720" w:hanging="720"/>
      </w:pPr>
      <w:rPr>
        <w:rFonts w:ascii="Times New Roman Bold" w:hAnsi="Times New Roman Bold" w:cs="Times New Roman"/>
        <w:sz w:val="24"/>
        <w:u w:val="none"/>
      </w:rPr>
    </w:lvl>
    <w:lvl w:ilvl="1" w:tplc="532A0AE8" w:tentative="1">
      <w:start w:val="1"/>
      <w:numFmt w:val="lowerLetter"/>
      <w:lvlText w:val="%2."/>
      <w:lvlJc w:val="left"/>
      <w:pPr>
        <w:ind w:left="1440" w:hanging="360"/>
      </w:pPr>
      <w:rPr>
        <w:rFonts w:ascii="Times New Roman Bold" w:hAnsi="Times New Roman Bold" w:cs="Times New Roman"/>
        <w:sz w:val="24"/>
      </w:rPr>
    </w:lvl>
    <w:lvl w:ilvl="2" w:tplc="4D28645E" w:tentative="1">
      <w:start w:val="1"/>
      <w:numFmt w:val="lowerRoman"/>
      <w:lvlText w:val="%3."/>
      <w:lvlJc w:val="right"/>
      <w:pPr>
        <w:ind w:left="2160" w:hanging="180"/>
      </w:pPr>
      <w:rPr>
        <w:rFonts w:ascii="Times New Roman Bold" w:hAnsi="Times New Roman Bold" w:cs="Times New Roman"/>
        <w:sz w:val="24"/>
      </w:rPr>
    </w:lvl>
    <w:lvl w:ilvl="3" w:tplc="768C54CA" w:tentative="1">
      <w:start w:val="1"/>
      <w:numFmt w:val="decimal"/>
      <w:lvlText w:val="%4."/>
      <w:lvlJc w:val="left"/>
      <w:pPr>
        <w:ind w:left="2880" w:hanging="360"/>
      </w:pPr>
      <w:rPr>
        <w:rFonts w:ascii="Times New Roman Bold" w:hAnsi="Times New Roman Bold" w:cs="Times New Roman"/>
        <w:sz w:val="24"/>
      </w:rPr>
    </w:lvl>
    <w:lvl w:ilvl="4" w:tplc="86D4EBD0" w:tentative="1">
      <w:start w:val="1"/>
      <w:numFmt w:val="lowerLetter"/>
      <w:lvlText w:val="%5."/>
      <w:lvlJc w:val="left"/>
      <w:pPr>
        <w:ind w:left="3600" w:hanging="360"/>
      </w:pPr>
      <w:rPr>
        <w:rFonts w:ascii="Times New Roman Bold" w:hAnsi="Times New Roman Bold" w:cs="Times New Roman"/>
        <w:sz w:val="24"/>
      </w:rPr>
    </w:lvl>
    <w:lvl w:ilvl="5" w:tplc="E66A303C" w:tentative="1">
      <w:start w:val="1"/>
      <w:numFmt w:val="lowerRoman"/>
      <w:lvlText w:val="%6."/>
      <w:lvlJc w:val="right"/>
      <w:pPr>
        <w:ind w:left="4320" w:hanging="180"/>
      </w:pPr>
      <w:rPr>
        <w:rFonts w:ascii="Times New Roman Bold" w:hAnsi="Times New Roman Bold" w:cs="Times New Roman"/>
        <w:sz w:val="24"/>
      </w:rPr>
    </w:lvl>
    <w:lvl w:ilvl="6" w:tplc="310046DE" w:tentative="1">
      <w:start w:val="1"/>
      <w:numFmt w:val="decimal"/>
      <w:lvlText w:val="%7."/>
      <w:lvlJc w:val="left"/>
      <w:pPr>
        <w:ind w:left="5040" w:hanging="360"/>
      </w:pPr>
      <w:rPr>
        <w:rFonts w:ascii="Times New Roman Bold" w:hAnsi="Times New Roman Bold" w:cs="Times New Roman"/>
        <w:sz w:val="24"/>
      </w:rPr>
    </w:lvl>
    <w:lvl w:ilvl="7" w:tplc="CE1EF8F2" w:tentative="1">
      <w:start w:val="1"/>
      <w:numFmt w:val="lowerLetter"/>
      <w:lvlText w:val="%8."/>
      <w:lvlJc w:val="left"/>
      <w:pPr>
        <w:ind w:left="5760" w:hanging="360"/>
      </w:pPr>
      <w:rPr>
        <w:rFonts w:ascii="Times New Roman Bold" w:hAnsi="Times New Roman Bold" w:cs="Times New Roman"/>
        <w:sz w:val="24"/>
      </w:rPr>
    </w:lvl>
    <w:lvl w:ilvl="8" w:tplc="A3C8DE40" w:tentative="1">
      <w:start w:val="1"/>
      <w:numFmt w:val="lowerRoman"/>
      <w:lvlText w:val="%9."/>
      <w:lvlJc w:val="right"/>
      <w:pPr>
        <w:ind w:left="6480" w:hanging="180"/>
      </w:pPr>
      <w:rPr>
        <w:rFonts w:ascii="Times New Roman Bold" w:hAnsi="Times New Roman Bold" w:cs="Times New Roman"/>
        <w:sz w:val="24"/>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13"/>
  </w:num>
  <w:num w:numId="33">
    <w:abstractNumId w:val="10"/>
  </w:num>
  <w:num w:numId="34">
    <w:abstractNumId w:val="10"/>
  </w:num>
  <w:num w:numId="35">
    <w:abstractNumId w:val="10"/>
    <w:lvlOverride w:ilvl="0">
      <w:startOverride w:val="1"/>
    </w:lvlOverride>
  </w:num>
  <w:num w:numId="36">
    <w:abstractNumId w:val="10"/>
    <w:lvlOverride w:ilvl="0">
      <w:startOverride w:val="1"/>
    </w:lvlOverride>
  </w:num>
  <w:num w:numId="37">
    <w:abstractNumId w:val="15"/>
  </w:num>
  <w:num w:numId="38">
    <w:abstractNumId w:val="10"/>
    <w:lvlOverride w:ilvl="0">
      <w:startOverride w:val="1"/>
    </w:lvlOverride>
  </w:num>
  <w:num w:numId="39">
    <w:abstractNumId w:val="11"/>
  </w:num>
  <w:num w:numId="40">
    <w:abstractNumId w:val="10"/>
    <w:lvlOverride w:ilvl="0">
      <w:startOverride w:val="1"/>
    </w:lvlOverride>
  </w:num>
  <w:num w:numId="41">
    <w:abstractNumId w:val="16"/>
  </w:num>
  <w:num w:numId="42">
    <w:abstractNumId w:val="10"/>
    <w:lvlOverride w:ilvl="0">
      <w:startOverride w:val="1"/>
    </w:lvlOverride>
  </w:num>
  <w:num w:numId="43">
    <w:abstractNumId w:val="17"/>
  </w:num>
  <w:num w:numId="44">
    <w:abstractNumId w:val="12"/>
  </w:num>
  <w:num w:numId="45">
    <w:abstractNumId w:val="10"/>
    <w:lvlOverride w:ilvl="0">
      <w:startOverride w:val="1"/>
    </w:lvlOverride>
  </w:num>
  <w:num w:numId="4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movePersonalInformation/>
  <w:attachedTemplate r:id="rId1"/>
  <w:defaultTabStop w:val="720"/>
  <w:drawingGridHorizontalSpacing w:val="120"/>
  <w:drawingGridVerticalSpacing w:val="245"/>
  <w:displayHorizontalDrawingGridEvery w:val="2"/>
  <w:noPunctuationKerning/>
  <w:characterSpacingControl w:val="doNotCompress"/>
  <w:footnotePr>
    <w:footnote w:id="-1"/>
    <w:footnote w:id="0"/>
    <w:footnote w:id="1"/>
  </w:footnotePr>
  <w:endnotePr>
    <w:endnote w:id="-1"/>
    <w:endnote w:id="0"/>
  </w:endnotePr>
  <w:compat>
    <w:ulTrailSpace/>
    <w:doNotExpandShiftReturn/>
    <w:printColBlack/>
    <w:alignTablesRowByRow/>
    <w:doNotUseHTMLParagraphAutoSpacing/>
    <w:layoutRawTableWidth/>
    <w:layoutTableRowsApart/>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5D8C"/>
    <w:rsid w:val="00011EE2"/>
    <w:rsid w:val="0001329A"/>
    <w:rsid w:val="0001362A"/>
    <w:rsid w:val="000168D2"/>
    <w:rsid w:val="00027176"/>
    <w:rsid w:val="000569A2"/>
    <w:rsid w:val="00062C49"/>
    <w:rsid w:val="00072D2B"/>
    <w:rsid w:val="000A59CF"/>
    <w:rsid w:val="000B1F8D"/>
    <w:rsid w:val="000B4E33"/>
    <w:rsid w:val="000C11E1"/>
    <w:rsid w:val="000D05DE"/>
    <w:rsid w:val="000D143B"/>
    <w:rsid w:val="000D335E"/>
    <w:rsid w:val="000F0BE5"/>
    <w:rsid w:val="000F36E0"/>
    <w:rsid w:val="00105DE6"/>
    <w:rsid w:val="00111D3C"/>
    <w:rsid w:val="001169DD"/>
    <w:rsid w:val="0012000D"/>
    <w:rsid w:val="0016415E"/>
    <w:rsid w:val="00172AA2"/>
    <w:rsid w:val="00182C6C"/>
    <w:rsid w:val="0018713B"/>
    <w:rsid w:val="001B069D"/>
    <w:rsid w:val="001B43D8"/>
    <w:rsid w:val="001C1E23"/>
    <w:rsid w:val="001C27C1"/>
    <w:rsid w:val="001C58D0"/>
    <w:rsid w:val="001D74EA"/>
    <w:rsid w:val="001E63D4"/>
    <w:rsid w:val="001F03D9"/>
    <w:rsid w:val="00200681"/>
    <w:rsid w:val="00215C8E"/>
    <w:rsid w:val="00226FAD"/>
    <w:rsid w:val="002432F0"/>
    <w:rsid w:val="00265AA5"/>
    <w:rsid w:val="00280143"/>
    <w:rsid w:val="002A0652"/>
    <w:rsid w:val="002B55F3"/>
    <w:rsid w:val="002C0123"/>
    <w:rsid w:val="002C3439"/>
    <w:rsid w:val="002F0AB9"/>
    <w:rsid w:val="00304128"/>
    <w:rsid w:val="003216AD"/>
    <w:rsid w:val="00323F38"/>
    <w:rsid w:val="00335D8C"/>
    <w:rsid w:val="00356CF4"/>
    <w:rsid w:val="00365751"/>
    <w:rsid w:val="00380136"/>
    <w:rsid w:val="003A6045"/>
    <w:rsid w:val="003D6F12"/>
    <w:rsid w:val="003E1BED"/>
    <w:rsid w:val="003F3486"/>
    <w:rsid w:val="00404F91"/>
    <w:rsid w:val="00410DAA"/>
    <w:rsid w:val="00453ED9"/>
    <w:rsid w:val="004652A0"/>
    <w:rsid w:val="00470630"/>
    <w:rsid w:val="004712AA"/>
    <w:rsid w:val="00474717"/>
    <w:rsid w:val="00495A75"/>
    <w:rsid w:val="004A342A"/>
    <w:rsid w:val="004A5F0B"/>
    <w:rsid w:val="004B0ECD"/>
    <w:rsid w:val="004B231F"/>
    <w:rsid w:val="004B6013"/>
    <w:rsid w:val="004C1A1C"/>
    <w:rsid w:val="004C57B4"/>
    <w:rsid w:val="004C6ABD"/>
    <w:rsid w:val="004F02C7"/>
    <w:rsid w:val="004F5739"/>
    <w:rsid w:val="00507762"/>
    <w:rsid w:val="0054349D"/>
    <w:rsid w:val="0056330E"/>
    <w:rsid w:val="00564144"/>
    <w:rsid w:val="005753B4"/>
    <w:rsid w:val="00576E78"/>
    <w:rsid w:val="0057711E"/>
    <w:rsid w:val="00577C47"/>
    <w:rsid w:val="00583204"/>
    <w:rsid w:val="00587663"/>
    <w:rsid w:val="005939E0"/>
    <w:rsid w:val="005B112A"/>
    <w:rsid w:val="005C5363"/>
    <w:rsid w:val="005D45BF"/>
    <w:rsid w:val="005E2847"/>
    <w:rsid w:val="006027A9"/>
    <w:rsid w:val="006057E4"/>
    <w:rsid w:val="00621492"/>
    <w:rsid w:val="0062488C"/>
    <w:rsid w:val="0065472B"/>
    <w:rsid w:val="0066171C"/>
    <w:rsid w:val="00662CE2"/>
    <w:rsid w:val="00666F59"/>
    <w:rsid w:val="00673BA6"/>
    <w:rsid w:val="00676F27"/>
    <w:rsid w:val="006B54EB"/>
    <w:rsid w:val="006B667F"/>
    <w:rsid w:val="006D0EFC"/>
    <w:rsid w:val="006D290C"/>
    <w:rsid w:val="006D6ABF"/>
    <w:rsid w:val="006F2AD6"/>
    <w:rsid w:val="00710D77"/>
    <w:rsid w:val="00711009"/>
    <w:rsid w:val="00715116"/>
    <w:rsid w:val="0071783B"/>
    <w:rsid w:val="007249DE"/>
    <w:rsid w:val="0073660D"/>
    <w:rsid w:val="007903AB"/>
    <w:rsid w:val="00794814"/>
    <w:rsid w:val="007A24C2"/>
    <w:rsid w:val="007A5328"/>
    <w:rsid w:val="007B2267"/>
    <w:rsid w:val="007B513B"/>
    <w:rsid w:val="007C5BB7"/>
    <w:rsid w:val="007D7E8B"/>
    <w:rsid w:val="007E3D43"/>
    <w:rsid w:val="007F18D2"/>
    <w:rsid w:val="00812ED7"/>
    <w:rsid w:val="008417FE"/>
    <w:rsid w:val="00854EC7"/>
    <w:rsid w:val="00855E28"/>
    <w:rsid w:val="00866564"/>
    <w:rsid w:val="008751B1"/>
    <w:rsid w:val="00882D02"/>
    <w:rsid w:val="008B2E3E"/>
    <w:rsid w:val="008B7DAF"/>
    <w:rsid w:val="008C7E06"/>
    <w:rsid w:val="008D3363"/>
    <w:rsid w:val="008E7D50"/>
    <w:rsid w:val="008F056E"/>
    <w:rsid w:val="008F54E7"/>
    <w:rsid w:val="008F5BA3"/>
    <w:rsid w:val="008F792B"/>
    <w:rsid w:val="00975402"/>
    <w:rsid w:val="0097576E"/>
    <w:rsid w:val="0097777C"/>
    <w:rsid w:val="00986B7C"/>
    <w:rsid w:val="00996426"/>
    <w:rsid w:val="009A5BCF"/>
    <w:rsid w:val="009A6BD2"/>
    <w:rsid w:val="009B0AE7"/>
    <w:rsid w:val="009D2C14"/>
    <w:rsid w:val="009D2C76"/>
    <w:rsid w:val="009E1781"/>
    <w:rsid w:val="00A06FCA"/>
    <w:rsid w:val="00A2002B"/>
    <w:rsid w:val="00A304C5"/>
    <w:rsid w:val="00A31922"/>
    <w:rsid w:val="00A33709"/>
    <w:rsid w:val="00A4570C"/>
    <w:rsid w:val="00A57832"/>
    <w:rsid w:val="00A60952"/>
    <w:rsid w:val="00A644F8"/>
    <w:rsid w:val="00A67C3D"/>
    <w:rsid w:val="00A723BA"/>
    <w:rsid w:val="00A74CB1"/>
    <w:rsid w:val="00A7633B"/>
    <w:rsid w:val="00AA39DC"/>
    <w:rsid w:val="00AB2ABE"/>
    <w:rsid w:val="00AC3623"/>
    <w:rsid w:val="00AD5D3C"/>
    <w:rsid w:val="00AE2954"/>
    <w:rsid w:val="00AF4409"/>
    <w:rsid w:val="00B013A1"/>
    <w:rsid w:val="00B12227"/>
    <w:rsid w:val="00B34A2D"/>
    <w:rsid w:val="00B43AA1"/>
    <w:rsid w:val="00B46788"/>
    <w:rsid w:val="00B564D1"/>
    <w:rsid w:val="00B6318D"/>
    <w:rsid w:val="00B81883"/>
    <w:rsid w:val="00B821A0"/>
    <w:rsid w:val="00B90063"/>
    <w:rsid w:val="00B966D1"/>
    <w:rsid w:val="00B96FDF"/>
    <w:rsid w:val="00BA1795"/>
    <w:rsid w:val="00BA24AC"/>
    <w:rsid w:val="00BA632E"/>
    <w:rsid w:val="00BC25DD"/>
    <w:rsid w:val="00BD5E2B"/>
    <w:rsid w:val="00BF7056"/>
    <w:rsid w:val="00C01183"/>
    <w:rsid w:val="00C04FB6"/>
    <w:rsid w:val="00C22E56"/>
    <w:rsid w:val="00C2638A"/>
    <w:rsid w:val="00C271D8"/>
    <w:rsid w:val="00C35F49"/>
    <w:rsid w:val="00C56EB6"/>
    <w:rsid w:val="00C76858"/>
    <w:rsid w:val="00C86FDD"/>
    <w:rsid w:val="00CA3BE3"/>
    <w:rsid w:val="00CA53E0"/>
    <w:rsid w:val="00CB52F4"/>
    <w:rsid w:val="00D069F7"/>
    <w:rsid w:val="00D44394"/>
    <w:rsid w:val="00D515BD"/>
    <w:rsid w:val="00D81F4E"/>
    <w:rsid w:val="00D82F65"/>
    <w:rsid w:val="00DB4DD1"/>
    <w:rsid w:val="00DB743E"/>
    <w:rsid w:val="00DD3050"/>
    <w:rsid w:val="00DE3C56"/>
    <w:rsid w:val="00DF7F2B"/>
    <w:rsid w:val="00E14E90"/>
    <w:rsid w:val="00E34F61"/>
    <w:rsid w:val="00E50924"/>
    <w:rsid w:val="00E53736"/>
    <w:rsid w:val="00E53D65"/>
    <w:rsid w:val="00E67DDD"/>
    <w:rsid w:val="00E819B9"/>
    <w:rsid w:val="00E82214"/>
    <w:rsid w:val="00E931DE"/>
    <w:rsid w:val="00E93A75"/>
    <w:rsid w:val="00E95E8E"/>
    <w:rsid w:val="00EA5DC2"/>
    <w:rsid w:val="00EB1340"/>
    <w:rsid w:val="00EC6F7D"/>
    <w:rsid w:val="00EE0E4F"/>
    <w:rsid w:val="00EE2F15"/>
    <w:rsid w:val="00F00479"/>
    <w:rsid w:val="00F5443A"/>
    <w:rsid w:val="00F94DA4"/>
    <w:rsid w:val="00FA0608"/>
    <w:rsid w:val="00FB25D1"/>
    <w:rsid w:val="00FB3F7A"/>
    <w:rsid w:val="00FD2844"/>
    <w:rsid w:val="00FD66C7"/>
    <w:rsid w:val="00FF336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locked="1" w:uiPriority="0"/>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locked="1" w:uiPriority="0"/>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A2002B"/>
    <w:rPr>
      <w:sz w:val="24"/>
      <w:szCs w:val="20"/>
    </w:rPr>
  </w:style>
  <w:style w:type="paragraph" w:styleId="Heading1">
    <w:name w:val="heading 1"/>
    <w:aliases w:val="h1"/>
    <w:basedOn w:val="Normal"/>
    <w:next w:val="Heading2"/>
    <w:link w:val="Heading1Char"/>
    <w:uiPriority w:val="99"/>
    <w:qFormat/>
    <w:rsid w:val="00A2002B"/>
    <w:pPr>
      <w:keepNext/>
      <w:pageBreakBefore/>
      <w:numPr>
        <w:numId w:val="46"/>
      </w:numPr>
      <w:tabs>
        <w:tab w:val="clear" w:pos="720"/>
      </w:tabs>
      <w:spacing w:before="240"/>
      <w:outlineLvl w:val="0"/>
    </w:pPr>
    <w:rPr>
      <w:rFonts w:ascii="Times New Roman Bold" w:hAnsi="Times New Roman Bold"/>
      <w:b/>
      <w:bCs/>
      <w:u w:val="single"/>
    </w:rPr>
  </w:style>
  <w:style w:type="paragraph" w:styleId="Heading2">
    <w:name w:val="heading 2"/>
    <w:aliases w:val="h2"/>
    <w:basedOn w:val="Normal"/>
    <w:link w:val="Heading2Char"/>
    <w:uiPriority w:val="99"/>
    <w:qFormat/>
    <w:rsid w:val="001B069D"/>
    <w:pPr>
      <w:keepNext/>
      <w:spacing w:before="240"/>
      <w:ind w:left="720" w:hanging="720"/>
      <w:outlineLvl w:val="1"/>
    </w:pPr>
    <w:rPr>
      <w:u w:val="single"/>
    </w:rPr>
  </w:style>
  <w:style w:type="paragraph" w:styleId="Heading3">
    <w:name w:val="heading 3"/>
    <w:basedOn w:val="Normal"/>
    <w:link w:val="Heading3Char"/>
    <w:uiPriority w:val="99"/>
    <w:qFormat/>
    <w:rsid w:val="001B069D"/>
    <w:pPr>
      <w:spacing w:before="240"/>
      <w:ind w:left="2160" w:hanging="720"/>
      <w:outlineLvl w:val="2"/>
    </w:pPr>
  </w:style>
  <w:style w:type="paragraph" w:styleId="Heading4">
    <w:name w:val="heading 4"/>
    <w:basedOn w:val="Normal"/>
    <w:link w:val="Heading4Char"/>
    <w:uiPriority w:val="99"/>
    <w:qFormat/>
    <w:rsid w:val="001B069D"/>
    <w:pPr>
      <w:spacing w:before="240"/>
      <w:ind w:left="2880" w:hanging="720"/>
      <w:outlineLvl w:val="3"/>
    </w:pPr>
  </w:style>
  <w:style w:type="paragraph" w:styleId="Heading5">
    <w:name w:val="heading 5"/>
    <w:basedOn w:val="Normal"/>
    <w:link w:val="Heading5Char"/>
    <w:uiPriority w:val="99"/>
    <w:qFormat/>
    <w:rsid w:val="001B069D"/>
    <w:pPr>
      <w:spacing w:before="240"/>
      <w:ind w:left="3600" w:hanging="720"/>
      <w:outlineLvl w:val="4"/>
    </w:pPr>
  </w:style>
  <w:style w:type="paragraph" w:styleId="Heading6">
    <w:name w:val="heading 6"/>
    <w:basedOn w:val="Normal"/>
    <w:link w:val="Heading6Char"/>
    <w:uiPriority w:val="99"/>
    <w:qFormat/>
    <w:rsid w:val="001B069D"/>
    <w:pPr>
      <w:spacing w:before="240"/>
      <w:ind w:left="4320" w:hanging="720"/>
      <w:outlineLvl w:val="5"/>
    </w:pPr>
  </w:style>
  <w:style w:type="paragraph" w:styleId="Heading7">
    <w:name w:val="heading 7"/>
    <w:basedOn w:val="Normal"/>
    <w:link w:val="Heading7Char"/>
    <w:uiPriority w:val="99"/>
    <w:qFormat/>
    <w:rsid w:val="001B069D"/>
    <w:pPr>
      <w:spacing w:before="240"/>
      <w:ind w:left="5040" w:hanging="720"/>
      <w:outlineLvl w:val="6"/>
    </w:pPr>
  </w:style>
  <w:style w:type="paragraph" w:styleId="Heading8">
    <w:name w:val="heading 8"/>
    <w:basedOn w:val="Normal"/>
    <w:link w:val="Heading8Char"/>
    <w:uiPriority w:val="99"/>
    <w:qFormat/>
    <w:rsid w:val="001B069D"/>
    <w:pPr>
      <w:spacing w:before="240"/>
      <w:ind w:left="5760" w:hanging="720"/>
      <w:outlineLvl w:val="7"/>
    </w:pPr>
  </w:style>
  <w:style w:type="paragraph" w:styleId="Heading9">
    <w:name w:val="heading 9"/>
    <w:basedOn w:val="Normal"/>
    <w:link w:val="Heading9Char"/>
    <w:uiPriority w:val="99"/>
    <w:qFormat/>
    <w:rsid w:val="001B069D"/>
    <w:pPr>
      <w:spacing w:before="240"/>
      <w:ind w:left="6480" w:hanging="720"/>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9"/>
    <w:locked/>
    <w:rsid w:val="00A2002B"/>
    <w:rPr>
      <w:rFonts w:ascii="Times New Roman Bold" w:hAnsi="Times New Roman Bold"/>
      <w:b/>
      <w:bCs/>
      <w:sz w:val="24"/>
      <w:szCs w:val="20"/>
      <w:u w:val="single"/>
    </w:rPr>
  </w:style>
  <w:style w:type="character" w:customStyle="1" w:styleId="Heading2Char">
    <w:name w:val="Heading 2 Char"/>
    <w:aliases w:val="h2 Char"/>
    <w:basedOn w:val="DefaultParagraphFont"/>
    <w:link w:val="Heading2"/>
    <w:uiPriority w:val="99"/>
    <w:locked/>
    <w:rsid w:val="008417FE"/>
    <w:rPr>
      <w:rFonts w:cs="Times New Roman"/>
      <w:sz w:val="24"/>
      <w:u w:val="single"/>
    </w:rPr>
  </w:style>
  <w:style w:type="character" w:customStyle="1" w:styleId="Heading3Char">
    <w:name w:val="Heading 3 Char"/>
    <w:basedOn w:val="DefaultParagraphFont"/>
    <w:link w:val="Heading3"/>
    <w:uiPriority w:val="99"/>
    <w:locked/>
    <w:rsid w:val="008417FE"/>
    <w:rPr>
      <w:rFonts w:cs="Times New Roman"/>
      <w:sz w:val="24"/>
    </w:rPr>
  </w:style>
  <w:style w:type="character" w:customStyle="1" w:styleId="Heading4Char">
    <w:name w:val="Heading 4 Char"/>
    <w:basedOn w:val="DefaultParagraphFont"/>
    <w:link w:val="Heading4"/>
    <w:uiPriority w:val="99"/>
    <w:locked/>
    <w:rsid w:val="008417FE"/>
    <w:rPr>
      <w:rFonts w:cs="Times New Roman"/>
      <w:sz w:val="24"/>
    </w:rPr>
  </w:style>
  <w:style w:type="character" w:customStyle="1" w:styleId="Heading5Char">
    <w:name w:val="Heading 5 Char"/>
    <w:basedOn w:val="DefaultParagraphFont"/>
    <w:link w:val="Heading5"/>
    <w:uiPriority w:val="99"/>
    <w:locked/>
    <w:rsid w:val="008417FE"/>
    <w:rPr>
      <w:rFonts w:cs="Times New Roman"/>
      <w:sz w:val="24"/>
    </w:rPr>
  </w:style>
  <w:style w:type="character" w:customStyle="1" w:styleId="Heading6Char">
    <w:name w:val="Heading 6 Char"/>
    <w:basedOn w:val="DefaultParagraphFont"/>
    <w:link w:val="Heading6"/>
    <w:uiPriority w:val="99"/>
    <w:locked/>
    <w:rsid w:val="008417FE"/>
    <w:rPr>
      <w:rFonts w:cs="Times New Roman"/>
      <w:sz w:val="24"/>
    </w:rPr>
  </w:style>
  <w:style w:type="character" w:customStyle="1" w:styleId="Heading7Char">
    <w:name w:val="Heading 7 Char"/>
    <w:basedOn w:val="DefaultParagraphFont"/>
    <w:link w:val="Heading7"/>
    <w:uiPriority w:val="99"/>
    <w:locked/>
    <w:rsid w:val="008417FE"/>
    <w:rPr>
      <w:rFonts w:cs="Times New Roman"/>
      <w:sz w:val="24"/>
    </w:rPr>
  </w:style>
  <w:style w:type="character" w:customStyle="1" w:styleId="Heading8Char">
    <w:name w:val="Heading 8 Char"/>
    <w:basedOn w:val="DefaultParagraphFont"/>
    <w:link w:val="Heading8"/>
    <w:uiPriority w:val="99"/>
    <w:locked/>
    <w:rsid w:val="008417FE"/>
    <w:rPr>
      <w:rFonts w:cs="Times New Roman"/>
      <w:sz w:val="24"/>
    </w:rPr>
  </w:style>
  <w:style w:type="character" w:customStyle="1" w:styleId="Heading9Char">
    <w:name w:val="Heading 9 Char"/>
    <w:basedOn w:val="DefaultParagraphFont"/>
    <w:link w:val="Heading9"/>
    <w:uiPriority w:val="99"/>
    <w:locked/>
    <w:rsid w:val="008417FE"/>
    <w:rPr>
      <w:rFonts w:cs="Times New Roman"/>
      <w:sz w:val="24"/>
    </w:rPr>
  </w:style>
  <w:style w:type="paragraph" w:styleId="Header">
    <w:name w:val="header"/>
    <w:basedOn w:val="Normal"/>
    <w:link w:val="HeaderChar"/>
    <w:uiPriority w:val="99"/>
    <w:semiHidden/>
    <w:rsid w:val="001B069D"/>
    <w:pPr>
      <w:tabs>
        <w:tab w:val="center" w:pos="4320"/>
        <w:tab w:val="right" w:pos="8640"/>
      </w:tabs>
    </w:pPr>
  </w:style>
  <w:style w:type="character" w:customStyle="1" w:styleId="HeaderChar">
    <w:name w:val="Header Char"/>
    <w:basedOn w:val="DefaultParagraphFont"/>
    <w:link w:val="Header"/>
    <w:uiPriority w:val="99"/>
    <w:semiHidden/>
    <w:rsid w:val="005F325D"/>
    <w:rPr>
      <w:sz w:val="24"/>
      <w:szCs w:val="20"/>
    </w:rPr>
  </w:style>
  <w:style w:type="paragraph" w:styleId="Footer">
    <w:name w:val="footer"/>
    <w:basedOn w:val="Normal"/>
    <w:link w:val="FooterChar"/>
    <w:uiPriority w:val="99"/>
    <w:semiHidden/>
    <w:rsid w:val="001B069D"/>
    <w:pPr>
      <w:tabs>
        <w:tab w:val="center" w:pos="4320"/>
        <w:tab w:val="right" w:pos="8640"/>
      </w:tabs>
    </w:pPr>
  </w:style>
  <w:style w:type="character" w:customStyle="1" w:styleId="FooterChar">
    <w:name w:val="Footer Char"/>
    <w:basedOn w:val="DefaultParagraphFont"/>
    <w:link w:val="Footer"/>
    <w:uiPriority w:val="99"/>
    <w:semiHidden/>
    <w:rsid w:val="005F325D"/>
    <w:rPr>
      <w:sz w:val="24"/>
      <w:szCs w:val="20"/>
    </w:rPr>
  </w:style>
  <w:style w:type="character" w:styleId="PageNumber">
    <w:name w:val="page number"/>
    <w:basedOn w:val="DefaultParagraphFont"/>
    <w:uiPriority w:val="99"/>
    <w:semiHidden/>
    <w:rsid w:val="001B069D"/>
    <w:rPr>
      <w:rFonts w:cs="Times New Roman"/>
      <w:sz w:val="20"/>
    </w:rPr>
  </w:style>
  <w:style w:type="paragraph" w:styleId="NormalIndent">
    <w:name w:val="Normal Indent"/>
    <w:basedOn w:val="Normal"/>
    <w:uiPriority w:val="99"/>
    <w:semiHidden/>
    <w:rsid w:val="001B069D"/>
    <w:pPr>
      <w:spacing w:before="240"/>
      <w:ind w:firstLine="1440"/>
    </w:pPr>
  </w:style>
  <w:style w:type="paragraph" w:styleId="FootnoteText">
    <w:name w:val="footnote text"/>
    <w:basedOn w:val="Normal"/>
    <w:link w:val="FootnoteTextChar"/>
    <w:uiPriority w:val="99"/>
    <w:semiHidden/>
    <w:rsid w:val="001B069D"/>
    <w:pPr>
      <w:widowControl w:val="0"/>
      <w:tabs>
        <w:tab w:val="left" w:pos="360"/>
      </w:tabs>
    </w:pPr>
  </w:style>
  <w:style w:type="character" w:customStyle="1" w:styleId="FootnoteTextChar">
    <w:name w:val="Footnote Text Char"/>
    <w:basedOn w:val="DefaultParagraphFont"/>
    <w:link w:val="FootnoteText"/>
    <w:uiPriority w:val="99"/>
    <w:semiHidden/>
    <w:rsid w:val="005F325D"/>
    <w:rPr>
      <w:sz w:val="20"/>
      <w:szCs w:val="20"/>
    </w:rPr>
  </w:style>
  <w:style w:type="paragraph" w:styleId="TOC1">
    <w:name w:val="toc 1"/>
    <w:basedOn w:val="Normal"/>
    <w:next w:val="Normal"/>
    <w:autoRedefine/>
    <w:uiPriority w:val="99"/>
    <w:rsid w:val="00B013A1"/>
    <w:pPr>
      <w:tabs>
        <w:tab w:val="left" w:pos="720"/>
        <w:tab w:val="right" w:leader="dot" w:pos="9200"/>
      </w:tabs>
      <w:spacing w:before="240"/>
      <w:ind w:left="720" w:right="1008" w:hanging="720"/>
    </w:pPr>
    <w:rPr>
      <w:b/>
      <w:bCs/>
      <w:noProof/>
    </w:rPr>
  </w:style>
  <w:style w:type="paragraph" w:styleId="TOAHeading">
    <w:name w:val="toa heading"/>
    <w:basedOn w:val="Normal"/>
    <w:next w:val="Normal"/>
    <w:uiPriority w:val="99"/>
    <w:semiHidden/>
    <w:rsid w:val="001B069D"/>
    <w:pPr>
      <w:spacing w:before="240"/>
    </w:pPr>
    <w:rPr>
      <w:b/>
      <w:u w:val="single"/>
    </w:rPr>
  </w:style>
  <w:style w:type="character" w:customStyle="1" w:styleId="FooterTxt">
    <w:name w:val="FooterTxt"/>
    <w:basedOn w:val="DefaultParagraphFont"/>
    <w:uiPriority w:val="99"/>
    <w:rsid w:val="001B069D"/>
    <w:rPr>
      <w:rFonts w:cs="Times New Roman"/>
      <w:sz w:val="14"/>
    </w:rPr>
  </w:style>
  <w:style w:type="paragraph" w:customStyle="1" w:styleId="Center">
    <w:name w:val="Center"/>
    <w:aliases w:val="c"/>
    <w:basedOn w:val="Normal"/>
    <w:next w:val="Body"/>
    <w:link w:val="CenterChar"/>
    <w:uiPriority w:val="99"/>
    <w:rsid w:val="001B069D"/>
    <w:pPr>
      <w:keepNext/>
      <w:keepLines/>
      <w:suppressAutoHyphens/>
      <w:spacing w:before="240"/>
      <w:jc w:val="center"/>
    </w:pPr>
  </w:style>
  <w:style w:type="paragraph" w:customStyle="1" w:styleId="Body">
    <w:name w:val="Body"/>
    <w:basedOn w:val="Normal"/>
    <w:link w:val="BodyChar"/>
    <w:uiPriority w:val="99"/>
    <w:rsid w:val="00A31922"/>
    <w:pPr>
      <w:suppressAutoHyphens/>
      <w:spacing w:before="240"/>
      <w:ind w:firstLine="720"/>
    </w:pPr>
  </w:style>
  <w:style w:type="paragraph" w:styleId="BodyTextIndent">
    <w:name w:val="Body Text Indent"/>
    <w:basedOn w:val="Normal"/>
    <w:link w:val="BodyTextIndentChar"/>
    <w:uiPriority w:val="99"/>
    <w:semiHidden/>
    <w:rsid w:val="001B069D"/>
    <w:pPr>
      <w:spacing w:before="240"/>
      <w:ind w:left="1440"/>
    </w:pPr>
  </w:style>
  <w:style w:type="character" w:customStyle="1" w:styleId="BodyTextIndentChar">
    <w:name w:val="Body Text Indent Char"/>
    <w:basedOn w:val="DefaultParagraphFont"/>
    <w:link w:val="BodyTextIndent"/>
    <w:uiPriority w:val="99"/>
    <w:semiHidden/>
    <w:rsid w:val="005F325D"/>
    <w:rPr>
      <w:sz w:val="24"/>
      <w:szCs w:val="20"/>
    </w:rPr>
  </w:style>
  <w:style w:type="paragraph" w:customStyle="1" w:styleId="FlushLeft">
    <w:name w:val="Flush Left"/>
    <w:basedOn w:val="Normal"/>
    <w:link w:val="FlushLeftChar"/>
    <w:uiPriority w:val="99"/>
    <w:rsid w:val="001B069D"/>
    <w:pPr>
      <w:spacing w:before="240"/>
    </w:pPr>
  </w:style>
  <w:style w:type="paragraph" w:customStyle="1" w:styleId="BodyDouble">
    <w:name w:val="Body Double"/>
    <w:basedOn w:val="Body"/>
    <w:link w:val="BodyDoubleChar"/>
    <w:uiPriority w:val="99"/>
    <w:rsid w:val="001B069D"/>
    <w:pPr>
      <w:spacing w:before="0" w:line="480" w:lineRule="auto"/>
    </w:pPr>
  </w:style>
  <w:style w:type="paragraph" w:customStyle="1" w:styleId="Table">
    <w:name w:val="Table"/>
    <w:basedOn w:val="Normal"/>
    <w:uiPriority w:val="99"/>
    <w:rsid w:val="001B069D"/>
    <w:pPr>
      <w:spacing w:before="40" w:after="40"/>
    </w:pPr>
  </w:style>
  <w:style w:type="paragraph" w:styleId="TOC2">
    <w:name w:val="toc 2"/>
    <w:basedOn w:val="Normal"/>
    <w:next w:val="Normal"/>
    <w:autoRedefine/>
    <w:uiPriority w:val="99"/>
    <w:rsid w:val="00AB2ABE"/>
    <w:pPr>
      <w:tabs>
        <w:tab w:val="right" w:leader="dot" w:pos="9200"/>
      </w:tabs>
      <w:ind w:left="720" w:right="1008"/>
    </w:pPr>
  </w:style>
  <w:style w:type="paragraph" w:styleId="TOC3">
    <w:name w:val="toc 3"/>
    <w:basedOn w:val="Normal"/>
    <w:next w:val="Normal"/>
    <w:autoRedefine/>
    <w:uiPriority w:val="99"/>
    <w:semiHidden/>
    <w:rsid w:val="001B069D"/>
    <w:pPr>
      <w:tabs>
        <w:tab w:val="right" w:leader="dot" w:pos="9200"/>
      </w:tabs>
      <w:spacing w:after="240"/>
      <w:ind w:left="720" w:right="1008" w:firstLine="720"/>
    </w:pPr>
  </w:style>
  <w:style w:type="paragraph" w:styleId="TOC4">
    <w:name w:val="toc 4"/>
    <w:basedOn w:val="Normal"/>
    <w:next w:val="Normal"/>
    <w:autoRedefine/>
    <w:uiPriority w:val="99"/>
    <w:semiHidden/>
    <w:rsid w:val="001B069D"/>
    <w:pPr>
      <w:tabs>
        <w:tab w:val="right" w:leader="dot" w:pos="9200"/>
      </w:tabs>
      <w:spacing w:after="240"/>
      <w:ind w:left="2160" w:right="1008"/>
    </w:pPr>
  </w:style>
  <w:style w:type="paragraph" w:styleId="TOC5">
    <w:name w:val="toc 5"/>
    <w:basedOn w:val="Normal"/>
    <w:next w:val="Normal"/>
    <w:autoRedefine/>
    <w:uiPriority w:val="99"/>
    <w:semiHidden/>
    <w:rsid w:val="001B069D"/>
    <w:pPr>
      <w:tabs>
        <w:tab w:val="right" w:leader="dot" w:pos="9200"/>
      </w:tabs>
      <w:spacing w:after="240"/>
      <w:ind w:left="2880" w:right="1008"/>
    </w:pPr>
  </w:style>
  <w:style w:type="paragraph" w:styleId="TOC6">
    <w:name w:val="toc 6"/>
    <w:basedOn w:val="Normal"/>
    <w:next w:val="Normal"/>
    <w:autoRedefine/>
    <w:uiPriority w:val="99"/>
    <w:semiHidden/>
    <w:rsid w:val="001B069D"/>
    <w:pPr>
      <w:tabs>
        <w:tab w:val="right" w:leader="dot" w:pos="9200"/>
      </w:tabs>
      <w:spacing w:after="240"/>
      <w:ind w:left="3600" w:right="1008"/>
    </w:pPr>
  </w:style>
  <w:style w:type="paragraph" w:styleId="TOC7">
    <w:name w:val="toc 7"/>
    <w:basedOn w:val="Normal"/>
    <w:next w:val="Normal"/>
    <w:autoRedefine/>
    <w:uiPriority w:val="99"/>
    <w:semiHidden/>
    <w:rsid w:val="001B069D"/>
    <w:pPr>
      <w:tabs>
        <w:tab w:val="right" w:leader="dot" w:pos="9200"/>
      </w:tabs>
      <w:spacing w:after="240"/>
      <w:ind w:left="4320" w:right="1008"/>
    </w:pPr>
  </w:style>
  <w:style w:type="paragraph" w:styleId="TOC8">
    <w:name w:val="toc 8"/>
    <w:basedOn w:val="Normal"/>
    <w:next w:val="Normal"/>
    <w:autoRedefine/>
    <w:uiPriority w:val="99"/>
    <w:semiHidden/>
    <w:rsid w:val="001B069D"/>
    <w:pPr>
      <w:tabs>
        <w:tab w:val="right" w:leader="dot" w:pos="9200"/>
      </w:tabs>
      <w:spacing w:after="240"/>
      <w:ind w:left="5040" w:right="1008"/>
    </w:pPr>
  </w:style>
  <w:style w:type="paragraph" w:styleId="TOC9">
    <w:name w:val="toc 9"/>
    <w:basedOn w:val="Normal"/>
    <w:next w:val="Normal"/>
    <w:autoRedefine/>
    <w:uiPriority w:val="99"/>
    <w:semiHidden/>
    <w:rsid w:val="001B069D"/>
    <w:pPr>
      <w:tabs>
        <w:tab w:val="right" w:leader="dot" w:pos="9200"/>
      </w:tabs>
      <w:spacing w:after="240"/>
      <w:ind w:left="5760" w:right="1008"/>
    </w:pPr>
  </w:style>
  <w:style w:type="character" w:customStyle="1" w:styleId="NonTocText">
    <w:name w:val="Non Toc Text"/>
    <w:basedOn w:val="DefaultParagraphFont"/>
    <w:uiPriority w:val="99"/>
    <w:rsid w:val="00564144"/>
    <w:rPr>
      <w:rFonts w:cs="Times New Roman"/>
      <w:color w:val="000000"/>
    </w:rPr>
  </w:style>
  <w:style w:type="character" w:styleId="FootnoteReference">
    <w:name w:val="footnote reference"/>
    <w:basedOn w:val="DefaultParagraphFont"/>
    <w:uiPriority w:val="99"/>
    <w:semiHidden/>
    <w:rsid w:val="001B069D"/>
    <w:rPr>
      <w:rFonts w:cs="Times New Roman"/>
      <w:vertAlign w:val="superscript"/>
    </w:rPr>
  </w:style>
  <w:style w:type="paragraph" w:customStyle="1" w:styleId="HangingIndent">
    <w:name w:val="Hanging Indent"/>
    <w:basedOn w:val="Normal"/>
    <w:link w:val="HangingIndentChar"/>
    <w:uiPriority w:val="99"/>
    <w:rsid w:val="001B069D"/>
    <w:pPr>
      <w:spacing w:before="240"/>
      <w:ind w:left="720" w:hanging="720"/>
    </w:pPr>
  </w:style>
  <w:style w:type="paragraph" w:styleId="BlockText">
    <w:name w:val="Block Text"/>
    <w:basedOn w:val="Normal"/>
    <w:uiPriority w:val="99"/>
    <w:semiHidden/>
    <w:rsid w:val="001B069D"/>
    <w:pPr>
      <w:spacing w:before="120"/>
      <w:ind w:left="1440" w:right="1440"/>
    </w:pPr>
  </w:style>
  <w:style w:type="paragraph" w:customStyle="1" w:styleId="FlushLeftDouble">
    <w:name w:val="Flush Left Double"/>
    <w:basedOn w:val="FlushLeft"/>
    <w:link w:val="FlushLeftDoubleChar"/>
    <w:uiPriority w:val="99"/>
    <w:rsid w:val="001B069D"/>
    <w:pPr>
      <w:spacing w:before="0" w:line="480" w:lineRule="auto"/>
    </w:pPr>
  </w:style>
  <w:style w:type="paragraph" w:styleId="TableofAuthorities">
    <w:name w:val="table of authorities"/>
    <w:basedOn w:val="Normal"/>
    <w:next w:val="Normal"/>
    <w:autoRedefine/>
    <w:uiPriority w:val="99"/>
    <w:semiHidden/>
    <w:rsid w:val="001B069D"/>
    <w:pPr>
      <w:tabs>
        <w:tab w:val="right" w:leader="dot" w:pos="8928"/>
      </w:tabs>
      <w:ind w:left="720" w:right="1008" w:hanging="720"/>
    </w:pPr>
  </w:style>
  <w:style w:type="character" w:styleId="LineNumber">
    <w:name w:val="line number"/>
    <w:basedOn w:val="DefaultParagraphFont"/>
    <w:uiPriority w:val="99"/>
    <w:semiHidden/>
    <w:rsid w:val="001B069D"/>
    <w:rPr>
      <w:rFonts w:cs="Times New Roman"/>
    </w:rPr>
  </w:style>
  <w:style w:type="paragraph" w:customStyle="1" w:styleId="CenterDouble">
    <w:name w:val="Center Double"/>
    <w:aliases w:val="cd"/>
    <w:basedOn w:val="Center"/>
    <w:next w:val="BodyDouble"/>
    <w:link w:val="CenterDoubleChar"/>
    <w:uiPriority w:val="99"/>
    <w:rsid w:val="001B069D"/>
    <w:pPr>
      <w:spacing w:before="0" w:line="480" w:lineRule="auto"/>
    </w:pPr>
  </w:style>
  <w:style w:type="paragraph" w:customStyle="1" w:styleId="Indent">
    <w:name w:val="Indent"/>
    <w:basedOn w:val="Normal"/>
    <w:link w:val="IndentChar"/>
    <w:uiPriority w:val="99"/>
    <w:rsid w:val="001B069D"/>
    <w:pPr>
      <w:spacing w:before="240"/>
      <w:ind w:left="720"/>
    </w:pPr>
  </w:style>
  <w:style w:type="paragraph" w:styleId="BodyText2">
    <w:name w:val="Body Text 2"/>
    <w:basedOn w:val="Normal"/>
    <w:link w:val="BodyText2Char"/>
    <w:uiPriority w:val="99"/>
    <w:semiHidden/>
    <w:rsid w:val="001B069D"/>
    <w:pPr>
      <w:spacing w:line="480" w:lineRule="auto"/>
    </w:pPr>
  </w:style>
  <w:style w:type="character" w:customStyle="1" w:styleId="BodyText2Char">
    <w:name w:val="Body Text 2 Char"/>
    <w:basedOn w:val="DefaultParagraphFont"/>
    <w:link w:val="BodyText2"/>
    <w:uiPriority w:val="99"/>
    <w:semiHidden/>
    <w:rsid w:val="005F325D"/>
    <w:rPr>
      <w:sz w:val="24"/>
      <w:szCs w:val="20"/>
    </w:rPr>
  </w:style>
  <w:style w:type="paragraph" w:styleId="BodyText3">
    <w:name w:val="Body Text 3"/>
    <w:basedOn w:val="Normal"/>
    <w:link w:val="BodyText3Char"/>
    <w:uiPriority w:val="99"/>
    <w:semiHidden/>
    <w:rsid w:val="001B069D"/>
    <w:pPr>
      <w:spacing w:before="120"/>
    </w:pPr>
    <w:rPr>
      <w:sz w:val="16"/>
    </w:rPr>
  </w:style>
  <w:style w:type="character" w:customStyle="1" w:styleId="BodyText3Char">
    <w:name w:val="Body Text 3 Char"/>
    <w:basedOn w:val="DefaultParagraphFont"/>
    <w:link w:val="BodyText3"/>
    <w:uiPriority w:val="99"/>
    <w:semiHidden/>
    <w:rsid w:val="005F325D"/>
    <w:rPr>
      <w:sz w:val="16"/>
      <w:szCs w:val="16"/>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sid w:val="005F325D"/>
    <w:rPr>
      <w:sz w:val="24"/>
      <w:szCs w:val="20"/>
    </w:rPr>
  </w:style>
  <w:style w:type="paragraph" w:styleId="BodyTextFirstIndent">
    <w:name w:val="Body Text First Indent"/>
    <w:basedOn w:val="Normal"/>
    <w:link w:val="BodyTextFirstIndentChar"/>
    <w:uiPriority w:val="99"/>
    <w:semiHidden/>
    <w:rsid w:val="00676F27"/>
    <w:pPr>
      <w:spacing w:before="120"/>
      <w:ind w:firstLine="210"/>
    </w:pPr>
  </w:style>
  <w:style w:type="character" w:customStyle="1" w:styleId="BodyTextFirstIndentChar">
    <w:name w:val="Body Text First Indent Char"/>
    <w:basedOn w:val="BodyTextChar"/>
    <w:link w:val="BodyTextFirstIndent"/>
    <w:uiPriority w:val="99"/>
    <w:semiHidden/>
    <w:rsid w:val="005F325D"/>
  </w:style>
  <w:style w:type="paragraph" w:styleId="ListBullet">
    <w:name w:val="List Bullet"/>
    <w:aliases w:val="*"/>
    <w:basedOn w:val="Normal"/>
    <w:autoRedefine/>
    <w:uiPriority w:val="99"/>
    <w:semiHidden/>
    <w:rsid w:val="001B069D"/>
    <w:pPr>
      <w:numPr>
        <w:numId w:val="11"/>
      </w:numPr>
    </w:pPr>
  </w:style>
  <w:style w:type="paragraph" w:customStyle="1" w:styleId="Body1">
    <w:name w:val="Body 1&quot;"/>
    <w:aliases w:val="b1"/>
    <w:basedOn w:val="Normal"/>
    <w:link w:val="Body1Char"/>
    <w:uiPriority w:val="99"/>
    <w:rsid w:val="001B069D"/>
    <w:pPr>
      <w:spacing w:before="240"/>
      <w:ind w:firstLine="1440"/>
    </w:pPr>
  </w:style>
  <w:style w:type="paragraph" w:customStyle="1" w:styleId="Body1Double">
    <w:name w:val="Body 1&quot; Double"/>
    <w:aliases w:val="b1d"/>
    <w:basedOn w:val="Body1"/>
    <w:link w:val="Body1DoubleChar"/>
    <w:uiPriority w:val="99"/>
    <w:rsid w:val="001B069D"/>
    <w:pPr>
      <w:spacing w:before="0" w:line="480" w:lineRule="auto"/>
    </w:pPr>
  </w:style>
  <w:style w:type="paragraph" w:customStyle="1" w:styleId="Auto1">
    <w:name w:val="Auto 1"/>
    <w:aliases w:val="a1"/>
    <w:basedOn w:val="Normal"/>
    <w:link w:val="Auto1Char"/>
    <w:uiPriority w:val="99"/>
    <w:rsid w:val="001B069D"/>
    <w:pPr>
      <w:spacing w:before="240"/>
    </w:pPr>
  </w:style>
  <w:style w:type="paragraph" w:customStyle="1" w:styleId="Auto2">
    <w:name w:val="Auto 2"/>
    <w:aliases w:val="a2"/>
    <w:basedOn w:val="Normal"/>
    <w:link w:val="Auto2Char"/>
    <w:uiPriority w:val="99"/>
    <w:rsid w:val="001B069D"/>
    <w:pPr>
      <w:spacing w:before="240"/>
    </w:pPr>
  </w:style>
  <w:style w:type="paragraph" w:customStyle="1" w:styleId="Auto3">
    <w:name w:val="Auto 3"/>
    <w:aliases w:val="a3"/>
    <w:basedOn w:val="Normal"/>
    <w:link w:val="Auto3Char"/>
    <w:uiPriority w:val="99"/>
    <w:rsid w:val="001B069D"/>
    <w:pPr>
      <w:spacing w:before="240"/>
    </w:pPr>
  </w:style>
  <w:style w:type="paragraph" w:customStyle="1" w:styleId="Auto4">
    <w:name w:val="Auto 4"/>
    <w:aliases w:val="a4"/>
    <w:basedOn w:val="Normal"/>
    <w:link w:val="Auto4Char"/>
    <w:uiPriority w:val="99"/>
    <w:rsid w:val="001B069D"/>
    <w:pPr>
      <w:spacing w:before="240"/>
    </w:pPr>
  </w:style>
  <w:style w:type="paragraph" w:customStyle="1" w:styleId="Auto5">
    <w:name w:val="Auto 5"/>
    <w:aliases w:val="a5"/>
    <w:basedOn w:val="Normal"/>
    <w:link w:val="Auto5Char"/>
    <w:uiPriority w:val="99"/>
    <w:rsid w:val="001B069D"/>
    <w:pPr>
      <w:spacing w:before="240"/>
    </w:pPr>
  </w:style>
  <w:style w:type="paragraph" w:customStyle="1" w:styleId="Auto6">
    <w:name w:val="Auto 6"/>
    <w:aliases w:val="a6"/>
    <w:basedOn w:val="Normal"/>
    <w:link w:val="Auto6Char"/>
    <w:uiPriority w:val="99"/>
    <w:rsid w:val="001B069D"/>
    <w:pPr>
      <w:spacing w:before="240"/>
    </w:pPr>
  </w:style>
  <w:style w:type="paragraph" w:customStyle="1" w:styleId="Auto7">
    <w:name w:val="Auto 7"/>
    <w:aliases w:val="a7"/>
    <w:basedOn w:val="Normal"/>
    <w:link w:val="Auto7Char"/>
    <w:uiPriority w:val="99"/>
    <w:rsid w:val="001B069D"/>
    <w:pPr>
      <w:spacing w:before="240"/>
    </w:pPr>
  </w:style>
  <w:style w:type="paragraph" w:customStyle="1" w:styleId="Auto8">
    <w:name w:val="Auto 8"/>
    <w:aliases w:val="a8"/>
    <w:basedOn w:val="Normal"/>
    <w:link w:val="Auto8Char"/>
    <w:uiPriority w:val="99"/>
    <w:rsid w:val="001B069D"/>
    <w:pPr>
      <w:spacing w:before="240"/>
    </w:pPr>
  </w:style>
  <w:style w:type="paragraph" w:customStyle="1" w:styleId="Auto9">
    <w:name w:val="Auto 9"/>
    <w:aliases w:val="a9"/>
    <w:basedOn w:val="Normal"/>
    <w:link w:val="Auto9Char"/>
    <w:uiPriority w:val="99"/>
    <w:rsid w:val="001B069D"/>
    <w:pPr>
      <w:spacing w:before="240"/>
    </w:pPr>
  </w:style>
  <w:style w:type="paragraph" w:customStyle="1" w:styleId="QuoteDouble">
    <w:name w:val="Quote Double"/>
    <w:basedOn w:val="Normal"/>
    <w:link w:val="QuoteDoubleChar"/>
    <w:uiPriority w:val="99"/>
    <w:rsid w:val="00E34F61"/>
    <w:pPr>
      <w:spacing w:line="480" w:lineRule="auto"/>
      <w:ind w:left="1440" w:right="1440"/>
    </w:pPr>
  </w:style>
  <w:style w:type="paragraph" w:styleId="BodyTextFirstIndent2">
    <w:name w:val="Body Text First Indent 2"/>
    <w:basedOn w:val="BodyTextIndent"/>
    <w:link w:val="BodyTextFirstIndent2Char"/>
    <w:uiPriority w:val="99"/>
    <w:semiHidden/>
    <w:rsid w:val="001B069D"/>
    <w:pPr>
      <w:spacing w:before="120"/>
      <w:ind w:left="360" w:firstLine="210"/>
    </w:pPr>
  </w:style>
  <w:style w:type="character" w:customStyle="1" w:styleId="BodyTextFirstIndent2Char">
    <w:name w:val="Body Text First Indent 2 Char"/>
    <w:basedOn w:val="BodyTextIndentChar"/>
    <w:link w:val="BodyTextFirstIndent2"/>
    <w:uiPriority w:val="99"/>
    <w:semiHidden/>
    <w:rsid w:val="005F325D"/>
  </w:style>
  <w:style w:type="paragraph" w:styleId="BodyTextIndent2">
    <w:name w:val="Body Text Indent 2"/>
    <w:basedOn w:val="Normal"/>
    <w:link w:val="BodyTextIndent2Char"/>
    <w:uiPriority w:val="99"/>
    <w:semiHidden/>
    <w:rsid w:val="001B069D"/>
    <w:pPr>
      <w:spacing w:line="480" w:lineRule="auto"/>
      <w:ind w:left="360"/>
    </w:pPr>
  </w:style>
  <w:style w:type="character" w:customStyle="1" w:styleId="BodyTextIndent2Char">
    <w:name w:val="Body Text Indent 2 Char"/>
    <w:basedOn w:val="DefaultParagraphFont"/>
    <w:link w:val="BodyTextIndent2"/>
    <w:uiPriority w:val="99"/>
    <w:semiHidden/>
    <w:rsid w:val="005F325D"/>
    <w:rPr>
      <w:sz w:val="24"/>
      <w:szCs w:val="20"/>
    </w:rPr>
  </w:style>
  <w:style w:type="paragraph" w:styleId="BodyTextIndent3">
    <w:name w:val="Body Text Indent 3"/>
    <w:basedOn w:val="Normal"/>
    <w:link w:val="BodyTextIndent3Char"/>
    <w:uiPriority w:val="99"/>
    <w:semiHidden/>
    <w:rsid w:val="001B069D"/>
    <w:pPr>
      <w:spacing w:before="120"/>
      <w:ind w:left="360"/>
    </w:pPr>
    <w:rPr>
      <w:sz w:val="16"/>
    </w:rPr>
  </w:style>
  <w:style w:type="character" w:customStyle="1" w:styleId="BodyTextIndent3Char">
    <w:name w:val="Body Text Indent 3 Char"/>
    <w:basedOn w:val="DefaultParagraphFont"/>
    <w:link w:val="BodyTextIndent3"/>
    <w:uiPriority w:val="99"/>
    <w:semiHidden/>
    <w:rsid w:val="005F325D"/>
    <w:rPr>
      <w:sz w:val="16"/>
      <w:szCs w:val="16"/>
    </w:rPr>
  </w:style>
  <w:style w:type="paragraph" w:styleId="Caption">
    <w:name w:val="caption"/>
    <w:basedOn w:val="Normal"/>
    <w:next w:val="Normal"/>
    <w:uiPriority w:val="99"/>
    <w:qFormat/>
    <w:rsid w:val="001B069D"/>
    <w:pPr>
      <w:spacing w:before="120" w:after="120"/>
    </w:pPr>
    <w:rPr>
      <w:b/>
    </w:rPr>
  </w:style>
  <w:style w:type="paragraph" w:styleId="Closing">
    <w:name w:val="Closing"/>
    <w:basedOn w:val="Normal"/>
    <w:link w:val="ClosingChar"/>
    <w:uiPriority w:val="99"/>
    <w:semiHidden/>
    <w:rsid w:val="001B069D"/>
    <w:pPr>
      <w:ind w:left="4320"/>
    </w:pPr>
  </w:style>
  <w:style w:type="character" w:customStyle="1" w:styleId="ClosingChar">
    <w:name w:val="Closing Char"/>
    <w:basedOn w:val="DefaultParagraphFont"/>
    <w:link w:val="Closing"/>
    <w:uiPriority w:val="99"/>
    <w:semiHidden/>
    <w:rsid w:val="005F325D"/>
    <w:rPr>
      <w:sz w:val="24"/>
      <w:szCs w:val="20"/>
    </w:rPr>
  </w:style>
  <w:style w:type="paragraph" w:styleId="CommentText">
    <w:name w:val="annotation text"/>
    <w:basedOn w:val="Normal"/>
    <w:link w:val="CommentTextChar"/>
    <w:uiPriority w:val="99"/>
    <w:semiHidden/>
    <w:rsid w:val="001B069D"/>
    <w:rPr>
      <w:sz w:val="20"/>
    </w:rPr>
  </w:style>
  <w:style w:type="character" w:customStyle="1" w:styleId="CommentTextChar">
    <w:name w:val="Comment Text Char"/>
    <w:basedOn w:val="DefaultParagraphFont"/>
    <w:link w:val="CommentText"/>
    <w:uiPriority w:val="99"/>
    <w:semiHidden/>
    <w:locked/>
    <w:rsid w:val="008417FE"/>
    <w:rPr>
      <w:rFonts w:cs="Times New Roman"/>
    </w:rPr>
  </w:style>
  <w:style w:type="paragraph" w:styleId="Date">
    <w:name w:val="Date"/>
    <w:basedOn w:val="Normal"/>
    <w:next w:val="Normal"/>
    <w:link w:val="DateChar"/>
    <w:uiPriority w:val="99"/>
    <w:semiHidden/>
    <w:rsid w:val="001B069D"/>
  </w:style>
  <w:style w:type="character" w:customStyle="1" w:styleId="DateChar">
    <w:name w:val="Date Char"/>
    <w:basedOn w:val="DefaultParagraphFont"/>
    <w:link w:val="Date"/>
    <w:uiPriority w:val="99"/>
    <w:semiHidden/>
    <w:rsid w:val="005F325D"/>
    <w:rPr>
      <w:sz w:val="24"/>
      <w:szCs w:val="20"/>
    </w:rPr>
  </w:style>
  <w:style w:type="paragraph" w:styleId="DocumentMap">
    <w:name w:val="Document Map"/>
    <w:basedOn w:val="Normal"/>
    <w:link w:val="DocumentMapChar"/>
    <w:uiPriority w:val="99"/>
    <w:semiHidden/>
    <w:rsid w:val="001B069D"/>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5F325D"/>
    <w:rPr>
      <w:sz w:val="0"/>
      <w:szCs w:val="0"/>
    </w:rPr>
  </w:style>
  <w:style w:type="paragraph" w:styleId="EndnoteText">
    <w:name w:val="endnote text"/>
    <w:basedOn w:val="Normal"/>
    <w:link w:val="EndnoteTextChar"/>
    <w:uiPriority w:val="99"/>
    <w:semiHidden/>
    <w:rsid w:val="001B069D"/>
    <w:rPr>
      <w:sz w:val="20"/>
    </w:rPr>
  </w:style>
  <w:style w:type="character" w:customStyle="1" w:styleId="EndnoteTextChar">
    <w:name w:val="Endnote Text Char"/>
    <w:basedOn w:val="DefaultParagraphFont"/>
    <w:link w:val="EndnoteText"/>
    <w:uiPriority w:val="99"/>
    <w:semiHidden/>
    <w:rsid w:val="005F325D"/>
    <w:rPr>
      <w:sz w:val="20"/>
      <w:szCs w:val="20"/>
    </w:rPr>
  </w:style>
  <w:style w:type="paragraph" w:styleId="EnvelopeAddress">
    <w:name w:val="envelope address"/>
    <w:basedOn w:val="Normal"/>
    <w:uiPriority w:val="99"/>
    <w:semiHidden/>
    <w:rsid w:val="001B069D"/>
    <w:pPr>
      <w:framePr w:w="7920" w:h="1980" w:hRule="exact" w:hSpace="180" w:wrap="auto" w:hAnchor="page" w:xAlign="center" w:yAlign="bottom"/>
      <w:ind w:left="2880"/>
    </w:pPr>
    <w:rPr>
      <w:rFonts w:ascii="Arial" w:hAnsi="Arial"/>
    </w:rPr>
  </w:style>
  <w:style w:type="paragraph" w:styleId="EnvelopeReturn">
    <w:name w:val="envelope return"/>
    <w:basedOn w:val="Normal"/>
    <w:uiPriority w:val="99"/>
    <w:semiHidden/>
    <w:rsid w:val="001B069D"/>
    <w:rPr>
      <w:rFonts w:ascii="Arial" w:hAnsi="Arial"/>
      <w:sz w:val="20"/>
    </w:rPr>
  </w:style>
  <w:style w:type="paragraph" w:styleId="Index1">
    <w:name w:val="index 1"/>
    <w:basedOn w:val="Normal"/>
    <w:next w:val="Normal"/>
    <w:autoRedefine/>
    <w:uiPriority w:val="99"/>
    <w:semiHidden/>
    <w:rsid w:val="001B069D"/>
    <w:pPr>
      <w:tabs>
        <w:tab w:val="right" w:leader="dot" w:pos="9187"/>
      </w:tabs>
      <w:ind w:right="1440"/>
    </w:pPr>
  </w:style>
  <w:style w:type="paragraph" w:styleId="Index2">
    <w:name w:val="index 2"/>
    <w:basedOn w:val="Normal"/>
    <w:next w:val="Normal"/>
    <w:autoRedefine/>
    <w:uiPriority w:val="99"/>
    <w:semiHidden/>
    <w:rsid w:val="001B069D"/>
    <w:pPr>
      <w:tabs>
        <w:tab w:val="right" w:leader="dot" w:pos="9187"/>
      </w:tabs>
      <w:ind w:left="245" w:right="1440"/>
    </w:pPr>
  </w:style>
  <w:style w:type="paragraph" w:styleId="Index3">
    <w:name w:val="index 3"/>
    <w:basedOn w:val="Normal"/>
    <w:next w:val="Normal"/>
    <w:autoRedefine/>
    <w:uiPriority w:val="99"/>
    <w:semiHidden/>
    <w:rsid w:val="001B069D"/>
    <w:pPr>
      <w:tabs>
        <w:tab w:val="right" w:leader="dot" w:pos="9187"/>
      </w:tabs>
      <w:ind w:left="475" w:right="1440"/>
    </w:pPr>
  </w:style>
  <w:style w:type="paragraph" w:styleId="Index4">
    <w:name w:val="index 4"/>
    <w:basedOn w:val="Normal"/>
    <w:next w:val="Normal"/>
    <w:autoRedefine/>
    <w:uiPriority w:val="99"/>
    <w:semiHidden/>
    <w:rsid w:val="001B069D"/>
    <w:pPr>
      <w:tabs>
        <w:tab w:val="right" w:leader="dot" w:pos="9187"/>
      </w:tabs>
      <w:ind w:left="720" w:right="1440"/>
    </w:pPr>
  </w:style>
  <w:style w:type="paragraph" w:styleId="Index5">
    <w:name w:val="index 5"/>
    <w:basedOn w:val="Normal"/>
    <w:next w:val="Normal"/>
    <w:autoRedefine/>
    <w:uiPriority w:val="99"/>
    <w:semiHidden/>
    <w:rsid w:val="001B069D"/>
    <w:pPr>
      <w:tabs>
        <w:tab w:val="right" w:leader="dot" w:pos="9187"/>
      </w:tabs>
      <w:ind w:left="965" w:right="1440"/>
    </w:pPr>
  </w:style>
  <w:style w:type="paragraph" w:styleId="Index6">
    <w:name w:val="index 6"/>
    <w:basedOn w:val="Normal"/>
    <w:next w:val="Normal"/>
    <w:autoRedefine/>
    <w:uiPriority w:val="99"/>
    <w:semiHidden/>
    <w:rsid w:val="001B069D"/>
    <w:pPr>
      <w:tabs>
        <w:tab w:val="right" w:leader="dot" w:pos="9187"/>
      </w:tabs>
      <w:ind w:left="1195" w:right="1440"/>
    </w:pPr>
  </w:style>
  <w:style w:type="paragraph" w:styleId="Index7">
    <w:name w:val="index 7"/>
    <w:basedOn w:val="Normal"/>
    <w:next w:val="Normal"/>
    <w:autoRedefine/>
    <w:uiPriority w:val="99"/>
    <w:semiHidden/>
    <w:rsid w:val="001B069D"/>
    <w:pPr>
      <w:tabs>
        <w:tab w:val="right" w:leader="dot" w:pos="9187"/>
      </w:tabs>
      <w:ind w:left="1440" w:right="1440"/>
    </w:pPr>
  </w:style>
  <w:style w:type="paragraph" w:styleId="Index8">
    <w:name w:val="index 8"/>
    <w:basedOn w:val="Normal"/>
    <w:next w:val="Normal"/>
    <w:autoRedefine/>
    <w:uiPriority w:val="99"/>
    <w:semiHidden/>
    <w:rsid w:val="001B069D"/>
    <w:pPr>
      <w:tabs>
        <w:tab w:val="right" w:leader="dot" w:pos="9187"/>
      </w:tabs>
      <w:ind w:left="1685" w:right="1440"/>
    </w:pPr>
  </w:style>
  <w:style w:type="paragraph" w:styleId="Index9">
    <w:name w:val="index 9"/>
    <w:basedOn w:val="Normal"/>
    <w:next w:val="Normal"/>
    <w:autoRedefine/>
    <w:uiPriority w:val="99"/>
    <w:semiHidden/>
    <w:rsid w:val="001B069D"/>
    <w:pPr>
      <w:tabs>
        <w:tab w:val="right" w:leader="dot" w:pos="9187"/>
      </w:tabs>
      <w:ind w:left="1915" w:right="1440"/>
    </w:pPr>
  </w:style>
  <w:style w:type="paragraph" w:styleId="IndexHeading">
    <w:name w:val="index heading"/>
    <w:basedOn w:val="Normal"/>
    <w:next w:val="Index1"/>
    <w:uiPriority w:val="99"/>
    <w:semiHidden/>
    <w:rsid w:val="001B069D"/>
    <w:rPr>
      <w:rFonts w:ascii="Arial" w:hAnsi="Arial"/>
      <w:b/>
    </w:rPr>
  </w:style>
  <w:style w:type="paragraph" w:styleId="List">
    <w:name w:val="List"/>
    <w:basedOn w:val="Normal"/>
    <w:uiPriority w:val="99"/>
    <w:semiHidden/>
    <w:rsid w:val="001B069D"/>
    <w:pPr>
      <w:ind w:left="360" w:hanging="360"/>
    </w:pPr>
  </w:style>
  <w:style w:type="paragraph" w:styleId="List2">
    <w:name w:val="List 2"/>
    <w:basedOn w:val="Normal"/>
    <w:uiPriority w:val="99"/>
    <w:semiHidden/>
    <w:rsid w:val="001B069D"/>
    <w:pPr>
      <w:ind w:left="720" w:hanging="360"/>
    </w:pPr>
  </w:style>
  <w:style w:type="paragraph" w:styleId="List3">
    <w:name w:val="List 3"/>
    <w:basedOn w:val="Normal"/>
    <w:uiPriority w:val="99"/>
    <w:semiHidden/>
    <w:rsid w:val="001B069D"/>
    <w:pPr>
      <w:ind w:left="1080" w:hanging="360"/>
    </w:pPr>
  </w:style>
  <w:style w:type="paragraph" w:styleId="List4">
    <w:name w:val="List 4"/>
    <w:basedOn w:val="Normal"/>
    <w:uiPriority w:val="99"/>
    <w:semiHidden/>
    <w:rsid w:val="001B069D"/>
    <w:pPr>
      <w:ind w:left="1440" w:hanging="360"/>
    </w:pPr>
  </w:style>
  <w:style w:type="paragraph" w:styleId="List5">
    <w:name w:val="List 5"/>
    <w:basedOn w:val="Normal"/>
    <w:uiPriority w:val="99"/>
    <w:semiHidden/>
    <w:rsid w:val="001B069D"/>
    <w:pPr>
      <w:ind w:left="1800" w:hanging="360"/>
    </w:pPr>
  </w:style>
  <w:style w:type="paragraph" w:styleId="ListBullet2">
    <w:name w:val="List Bullet 2"/>
    <w:basedOn w:val="Normal"/>
    <w:autoRedefine/>
    <w:uiPriority w:val="99"/>
    <w:semiHidden/>
    <w:rsid w:val="001B069D"/>
    <w:pPr>
      <w:numPr>
        <w:numId w:val="12"/>
      </w:numPr>
    </w:pPr>
  </w:style>
  <w:style w:type="paragraph" w:styleId="ListBullet3">
    <w:name w:val="List Bullet 3"/>
    <w:basedOn w:val="Normal"/>
    <w:autoRedefine/>
    <w:uiPriority w:val="99"/>
    <w:semiHidden/>
    <w:rsid w:val="001B069D"/>
    <w:pPr>
      <w:numPr>
        <w:numId w:val="13"/>
      </w:numPr>
    </w:pPr>
  </w:style>
  <w:style w:type="paragraph" w:styleId="ListBullet4">
    <w:name w:val="List Bullet 4"/>
    <w:basedOn w:val="Normal"/>
    <w:autoRedefine/>
    <w:uiPriority w:val="99"/>
    <w:semiHidden/>
    <w:rsid w:val="001B069D"/>
    <w:pPr>
      <w:numPr>
        <w:numId w:val="14"/>
      </w:numPr>
    </w:pPr>
  </w:style>
  <w:style w:type="paragraph" w:styleId="ListBullet5">
    <w:name w:val="List Bullet 5"/>
    <w:basedOn w:val="Normal"/>
    <w:autoRedefine/>
    <w:uiPriority w:val="99"/>
    <w:semiHidden/>
    <w:rsid w:val="001B069D"/>
    <w:pPr>
      <w:numPr>
        <w:numId w:val="15"/>
      </w:numPr>
    </w:pPr>
  </w:style>
  <w:style w:type="paragraph" w:styleId="ListContinue">
    <w:name w:val="List Continue"/>
    <w:basedOn w:val="Normal"/>
    <w:uiPriority w:val="99"/>
    <w:semiHidden/>
    <w:rsid w:val="001B069D"/>
    <w:pPr>
      <w:spacing w:before="120"/>
      <w:ind w:left="360"/>
    </w:pPr>
  </w:style>
  <w:style w:type="paragraph" w:styleId="ListContinue2">
    <w:name w:val="List Continue 2"/>
    <w:basedOn w:val="Normal"/>
    <w:uiPriority w:val="99"/>
    <w:semiHidden/>
    <w:rsid w:val="001B069D"/>
    <w:pPr>
      <w:spacing w:before="120"/>
      <w:ind w:left="720"/>
    </w:pPr>
  </w:style>
  <w:style w:type="paragraph" w:styleId="ListContinue3">
    <w:name w:val="List Continue 3"/>
    <w:basedOn w:val="Normal"/>
    <w:uiPriority w:val="99"/>
    <w:semiHidden/>
    <w:rsid w:val="001B069D"/>
    <w:pPr>
      <w:spacing w:before="120"/>
      <w:ind w:left="1080"/>
    </w:pPr>
  </w:style>
  <w:style w:type="paragraph" w:styleId="ListContinue4">
    <w:name w:val="List Continue 4"/>
    <w:basedOn w:val="Normal"/>
    <w:uiPriority w:val="99"/>
    <w:semiHidden/>
    <w:rsid w:val="001B069D"/>
    <w:pPr>
      <w:spacing w:before="120"/>
      <w:ind w:left="1440"/>
    </w:pPr>
  </w:style>
  <w:style w:type="paragraph" w:styleId="ListContinue5">
    <w:name w:val="List Continue 5"/>
    <w:basedOn w:val="Normal"/>
    <w:uiPriority w:val="99"/>
    <w:semiHidden/>
    <w:rsid w:val="001B069D"/>
    <w:pPr>
      <w:spacing w:before="120"/>
      <w:ind w:left="1800"/>
    </w:pPr>
  </w:style>
  <w:style w:type="paragraph" w:styleId="ListNumber">
    <w:name w:val="List Number"/>
    <w:basedOn w:val="Normal"/>
    <w:uiPriority w:val="99"/>
    <w:semiHidden/>
    <w:rsid w:val="001B069D"/>
    <w:pPr>
      <w:numPr>
        <w:numId w:val="16"/>
      </w:numPr>
    </w:pPr>
  </w:style>
  <w:style w:type="paragraph" w:styleId="ListNumber2">
    <w:name w:val="List Number 2"/>
    <w:basedOn w:val="Normal"/>
    <w:uiPriority w:val="99"/>
    <w:semiHidden/>
    <w:rsid w:val="001B069D"/>
    <w:pPr>
      <w:numPr>
        <w:numId w:val="17"/>
      </w:numPr>
    </w:pPr>
  </w:style>
  <w:style w:type="paragraph" w:styleId="ListNumber3">
    <w:name w:val="List Number 3"/>
    <w:basedOn w:val="Normal"/>
    <w:uiPriority w:val="99"/>
    <w:semiHidden/>
    <w:rsid w:val="001B069D"/>
    <w:pPr>
      <w:numPr>
        <w:numId w:val="18"/>
      </w:numPr>
    </w:pPr>
  </w:style>
  <w:style w:type="paragraph" w:styleId="ListNumber4">
    <w:name w:val="List Number 4"/>
    <w:basedOn w:val="Normal"/>
    <w:uiPriority w:val="99"/>
    <w:semiHidden/>
    <w:rsid w:val="001B069D"/>
    <w:pPr>
      <w:numPr>
        <w:numId w:val="19"/>
      </w:numPr>
    </w:pPr>
  </w:style>
  <w:style w:type="paragraph" w:styleId="ListNumber5">
    <w:name w:val="List Number 5"/>
    <w:basedOn w:val="Normal"/>
    <w:uiPriority w:val="99"/>
    <w:semiHidden/>
    <w:rsid w:val="001B069D"/>
    <w:pPr>
      <w:numPr>
        <w:numId w:val="20"/>
      </w:numPr>
    </w:pPr>
  </w:style>
  <w:style w:type="paragraph" w:styleId="MacroText">
    <w:name w:val="macro"/>
    <w:link w:val="MacroTextChar"/>
    <w:uiPriority w:val="99"/>
    <w:semiHidden/>
    <w:rsid w:val="001B069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0"/>
      <w:szCs w:val="20"/>
    </w:rPr>
  </w:style>
  <w:style w:type="character" w:customStyle="1" w:styleId="MacroTextChar">
    <w:name w:val="Macro Text Char"/>
    <w:basedOn w:val="DefaultParagraphFont"/>
    <w:link w:val="MacroText"/>
    <w:uiPriority w:val="99"/>
    <w:semiHidden/>
    <w:rsid w:val="005F325D"/>
    <w:rPr>
      <w:rFonts w:ascii="Courier New" w:hAnsi="Courier New" w:cs="Courier New"/>
      <w:sz w:val="20"/>
      <w:szCs w:val="20"/>
    </w:rPr>
  </w:style>
  <w:style w:type="paragraph" w:styleId="MessageHeader">
    <w:name w:val="Message Header"/>
    <w:basedOn w:val="Normal"/>
    <w:link w:val="MessageHeaderChar"/>
    <w:uiPriority w:val="99"/>
    <w:semiHidden/>
    <w:rsid w:val="001B06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uiPriority w:val="99"/>
    <w:semiHidden/>
    <w:rsid w:val="005F325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rsid w:val="001B069D"/>
  </w:style>
  <w:style w:type="character" w:customStyle="1" w:styleId="NoteHeadingChar">
    <w:name w:val="Note Heading Char"/>
    <w:basedOn w:val="DefaultParagraphFont"/>
    <w:link w:val="NoteHeading"/>
    <w:uiPriority w:val="99"/>
    <w:semiHidden/>
    <w:rsid w:val="005F325D"/>
    <w:rPr>
      <w:sz w:val="24"/>
      <w:szCs w:val="20"/>
    </w:rPr>
  </w:style>
  <w:style w:type="paragraph" w:styleId="PlainText">
    <w:name w:val="Plain Text"/>
    <w:basedOn w:val="Normal"/>
    <w:link w:val="PlainTextChar"/>
    <w:uiPriority w:val="99"/>
    <w:semiHidden/>
    <w:rsid w:val="001B069D"/>
    <w:rPr>
      <w:rFonts w:ascii="Courier New" w:hAnsi="Courier New"/>
      <w:sz w:val="20"/>
    </w:rPr>
  </w:style>
  <w:style w:type="character" w:customStyle="1" w:styleId="PlainTextChar">
    <w:name w:val="Plain Text Char"/>
    <w:basedOn w:val="DefaultParagraphFont"/>
    <w:link w:val="PlainText"/>
    <w:uiPriority w:val="99"/>
    <w:semiHidden/>
    <w:rsid w:val="005F325D"/>
    <w:rPr>
      <w:rFonts w:ascii="Courier New" w:hAnsi="Courier New" w:cs="Courier New"/>
      <w:sz w:val="20"/>
      <w:szCs w:val="20"/>
    </w:rPr>
  </w:style>
  <w:style w:type="paragraph" w:styleId="Salutation">
    <w:name w:val="Salutation"/>
    <w:basedOn w:val="Normal"/>
    <w:next w:val="Normal"/>
    <w:link w:val="SalutationChar"/>
    <w:uiPriority w:val="99"/>
    <w:semiHidden/>
    <w:rsid w:val="001B069D"/>
  </w:style>
  <w:style w:type="character" w:customStyle="1" w:styleId="SalutationChar">
    <w:name w:val="Salutation Char"/>
    <w:basedOn w:val="DefaultParagraphFont"/>
    <w:link w:val="Salutation"/>
    <w:uiPriority w:val="99"/>
    <w:semiHidden/>
    <w:rsid w:val="005F325D"/>
    <w:rPr>
      <w:sz w:val="24"/>
      <w:szCs w:val="20"/>
    </w:rPr>
  </w:style>
  <w:style w:type="paragraph" w:styleId="Signature">
    <w:name w:val="Signature"/>
    <w:basedOn w:val="Normal"/>
    <w:link w:val="SignatureChar"/>
    <w:uiPriority w:val="99"/>
    <w:semiHidden/>
    <w:rsid w:val="001B069D"/>
    <w:pPr>
      <w:ind w:left="4320"/>
    </w:pPr>
  </w:style>
  <w:style w:type="character" w:customStyle="1" w:styleId="SignatureChar">
    <w:name w:val="Signature Char"/>
    <w:basedOn w:val="DefaultParagraphFont"/>
    <w:link w:val="Signature"/>
    <w:uiPriority w:val="99"/>
    <w:semiHidden/>
    <w:rsid w:val="005F325D"/>
    <w:rPr>
      <w:sz w:val="24"/>
      <w:szCs w:val="20"/>
    </w:rPr>
  </w:style>
  <w:style w:type="paragraph" w:styleId="Subtitle">
    <w:name w:val="Subtitle"/>
    <w:basedOn w:val="Normal"/>
    <w:link w:val="SubtitleChar"/>
    <w:uiPriority w:val="99"/>
    <w:qFormat/>
    <w:rsid w:val="001B069D"/>
    <w:pPr>
      <w:spacing w:before="60"/>
      <w:jc w:val="center"/>
      <w:outlineLvl w:val="1"/>
    </w:pPr>
    <w:rPr>
      <w:rFonts w:ascii="Arial" w:hAnsi="Arial"/>
    </w:rPr>
  </w:style>
  <w:style w:type="character" w:customStyle="1" w:styleId="SubtitleChar">
    <w:name w:val="Subtitle Char"/>
    <w:basedOn w:val="DefaultParagraphFont"/>
    <w:link w:val="Subtitle"/>
    <w:uiPriority w:val="11"/>
    <w:rsid w:val="005F325D"/>
    <w:rPr>
      <w:rFonts w:asciiTheme="majorHAnsi" w:eastAsiaTheme="majorEastAsia" w:hAnsiTheme="majorHAnsi" w:cstheme="majorBidi"/>
      <w:sz w:val="24"/>
      <w:szCs w:val="24"/>
    </w:rPr>
  </w:style>
  <w:style w:type="paragraph" w:styleId="TableofFigures">
    <w:name w:val="table of figures"/>
    <w:basedOn w:val="Normal"/>
    <w:next w:val="Normal"/>
    <w:uiPriority w:val="99"/>
    <w:semiHidden/>
    <w:rsid w:val="001B069D"/>
    <w:pPr>
      <w:ind w:left="480" w:hanging="480"/>
    </w:pPr>
  </w:style>
  <w:style w:type="paragraph" w:styleId="Title">
    <w:name w:val="Title"/>
    <w:basedOn w:val="Normal"/>
    <w:link w:val="TitleChar"/>
    <w:uiPriority w:val="99"/>
    <w:qFormat/>
    <w:rsid w:val="001B069D"/>
    <w:pPr>
      <w:spacing w:before="240" w:after="60"/>
      <w:jc w:val="center"/>
      <w:outlineLvl w:val="0"/>
    </w:pPr>
    <w:rPr>
      <w:rFonts w:ascii="Arial" w:hAnsi="Arial"/>
      <w:b/>
      <w:kern w:val="28"/>
      <w:sz w:val="32"/>
    </w:rPr>
  </w:style>
  <w:style w:type="character" w:customStyle="1" w:styleId="TitleChar">
    <w:name w:val="Title Char"/>
    <w:basedOn w:val="DefaultParagraphFont"/>
    <w:link w:val="Title"/>
    <w:uiPriority w:val="10"/>
    <w:rsid w:val="005F325D"/>
    <w:rPr>
      <w:rFonts w:asciiTheme="majorHAnsi" w:eastAsiaTheme="majorEastAsia" w:hAnsiTheme="majorHAnsi" w:cstheme="majorBidi"/>
      <w:b/>
      <w:bCs/>
      <w:kern w:val="28"/>
      <w:sz w:val="32"/>
      <w:szCs w:val="32"/>
    </w:rPr>
  </w:style>
  <w:style w:type="paragraph" w:customStyle="1" w:styleId="CenterBoldUnderscore">
    <w:name w:val="Center Bold Underscore"/>
    <w:aliases w:val="cbu"/>
    <w:basedOn w:val="Center"/>
    <w:next w:val="Body"/>
    <w:link w:val="CenterBoldUnderscoreChar"/>
    <w:uiPriority w:val="99"/>
    <w:rsid w:val="001B069D"/>
    <w:rPr>
      <w:b/>
      <w:u w:val="single"/>
    </w:rPr>
  </w:style>
  <w:style w:type="paragraph" w:customStyle="1" w:styleId="CenterBold">
    <w:name w:val="Center Bold"/>
    <w:basedOn w:val="Center"/>
    <w:next w:val="Body"/>
    <w:link w:val="CenterBoldChar"/>
    <w:uiPriority w:val="99"/>
    <w:rsid w:val="001B069D"/>
    <w:rPr>
      <w:b/>
    </w:rPr>
  </w:style>
  <w:style w:type="paragraph" w:customStyle="1" w:styleId="CenterDoubleBoldUnd">
    <w:name w:val="Center Double Bold Und"/>
    <w:aliases w:val="cdbu"/>
    <w:basedOn w:val="CenterDouble"/>
    <w:next w:val="BodyDouble"/>
    <w:link w:val="CenterDoubleBoldUndChar"/>
    <w:uiPriority w:val="99"/>
    <w:rsid w:val="001B069D"/>
    <w:rPr>
      <w:b/>
      <w:u w:val="single"/>
    </w:rPr>
  </w:style>
  <w:style w:type="paragraph" w:customStyle="1" w:styleId="CenterDoubleBold">
    <w:name w:val="Center Double Bold"/>
    <w:aliases w:val="cbd"/>
    <w:basedOn w:val="CenterDouble"/>
    <w:next w:val="BodyDouble"/>
    <w:link w:val="CenterDoubleBoldChar"/>
    <w:uiPriority w:val="99"/>
    <w:rsid w:val="001B069D"/>
    <w:rPr>
      <w:b/>
    </w:rPr>
  </w:style>
  <w:style w:type="paragraph" w:customStyle="1" w:styleId="CenterDoubleUnd">
    <w:name w:val="Center Double Und"/>
    <w:aliases w:val="cdu"/>
    <w:basedOn w:val="CenterDouble"/>
    <w:next w:val="BodyDouble"/>
    <w:link w:val="CenterDoubleUndChar"/>
    <w:uiPriority w:val="99"/>
    <w:rsid w:val="001B069D"/>
    <w:rPr>
      <w:u w:val="single"/>
    </w:rPr>
  </w:style>
  <w:style w:type="paragraph" w:customStyle="1" w:styleId="CenterUnderscore">
    <w:name w:val="Center Underscore"/>
    <w:basedOn w:val="Center"/>
    <w:next w:val="Body"/>
    <w:link w:val="CenterUnderscoreChar"/>
    <w:uiPriority w:val="99"/>
    <w:rsid w:val="001B069D"/>
    <w:rPr>
      <w:u w:val="single"/>
    </w:rPr>
  </w:style>
  <w:style w:type="paragraph" w:customStyle="1" w:styleId="HeadingTitle">
    <w:name w:val="Heading Title"/>
    <w:aliases w:val="ht"/>
    <w:basedOn w:val="Normal"/>
    <w:next w:val="Normal"/>
    <w:uiPriority w:val="99"/>
    <w:rsid w:val="001B069D"/>
    <w:pPr>
      <w:keepNext/>
      <w:keepLines/>
      <w:spacing w:after="240"/>
      <w:jc w:val="center"/>
    </w:pPr>
    <w:rPr>
      <w:b/>
      <w:u w:val="single"/>
    </w:rPr>
  </w:style>
  <w:style w:type="paragraph" w:customStyle="1" w:styleId="zExhibitName">
    <w:name w:val="zExhibitName"/>
    <w:basedOn w:val="Normal"/>
    <w:next w:val="FlushLeft"/>
    <w:uiPriority w:val="99"/>
    <w:rsid w:val="001B069D"/>
    <w:pPr>
      <w:keepNext/>
      <w:keepLines/>
      <w:spacing w:after="240"/>
      <w:jc w:val="center"/>
    </w:pPr>
    <w:rPr>
      <w:b/>
      <w:u w:val="single"/>
    </w:rPr>
  </w:style>
  <w:style w:type="paragraph" w:customStyle="1" w:styleId="zExhibitLabel">
    <w:name w:val="zExhibitLabel"/>
    <w:basedOn w:val="Normal"/>
    <w:next w:val="Normal"/>
    <w:uiPriority w:val="99"/>
    <w:rsid w:val="007D7E8B"/>
    <w:pPr>
      <w:keepNext/>
      <w:keepLines/>
      <w:jc w:val="center"/>
    </w:pPr>
    <w:rPr>
      <w:b/>
      <w:u w:val="single"/>
    </w:rPr>
  </w:style>
  <w:style w:type="character" w:customStyle="1" w:styleId="Auto1Char">
    <w:name w:val="Auto 1 Char"/>
    <w:aliases w:val="a1 Char"/>
    <w:basedOn w:val="DefaultParagraphFont"/>
    <w:link w:val="Auto1"/>
    <w:uiPriority w:val="99"/>
    <w:locked/>
    <w:rsid w:val="001E63D4"/>
    <w:rPr>
      <w:rFonts w:cs="Times New Roman"/>
      <w:sz w:val="24"/>
    </w:rPr>
  </w:style>
  <w:style w:type="character" w:customStyle="1" w:styleId="Auto2Char">
    <w:name w:val="Auto 2 Char"/>
    <w:aliases w:val="a2 Char"/>
    <w:basedOn w:val="DefaultParagraphFont"/>
    <w:link w:val="Auto2"/>
    <w:uiPriority w:val="99"/>
    <w:locked/>
    <w:rsid w:val="001E63D4"/>
    <w:rPr>
      <w:rFonts w:cs="Times New Roman"/>
      <w:sz w:val="24"/>
    </w:rPr>
  </w:style>
  <w:style w:type="character" w:customStyle="1" w:styleId="Auto3Char">
    <w:name w:val="Auto 3 Char"/>
    <w:aliases w:val="a3 Char"/>
    <w:basedOn w:val="DefaultParagraphFont"/>
    <w:link w:val="Auto3"/>
    <w:uiPriority w:val="99"/>
    <w:locked/>
    <w:rsid w:val="001E63D4"/>
    <w:rPr>
      <w:rFonts w:cs="Times New Roman"/>
      <w:sz w:val="24"/>
    </w:rPr>
  </w:style>
  <w:style w:type="paragraph" w:styleId="Quote">
    <w:name w:val="Quote"/>
    <w:basedOn w:val="Normal"/>
    <w:link w:val="QuoteChar"/>
    <w:uiPriority w:val="99"/>
    <w:qFormat/>
    <w:rsid w:val="000F36E0"/>
    <w:pPr>
      <w:spacing w:before="240"/>
      <w:ind w:left="1440" w:right="1440"/>
    </w:pPr>
    <w:rPr>
      <w:iCs/>
      <w:color w:val="000000"/>
    </w:rPr>
  </w:style>
  <w:style w:type="character" w:customStyle="1" w:styleId="QuoteChar">
    <w:name w:val="Quote Char"/>
    <w:basedOn w:val="DefaultParagraphFont"/>
    <w:link w:val="Quote"/>
    <w:uiPriority w:val="99"/>
    <w:locked/>
    <w:rsid w:val="000F36E0"/>
    <w:rPr>
      <w:rFonts w:cs="Times New Roman"/>
      <w:iCs/>
      <w:color w:val="000000"/>
      <w:sz w:val="24"/>
    </w:rPr>
  </w:style>
  <w:style w:type="paragraph" w:customStyle="1" w:styleId="NoticeAddresses">
    <w:name w:val="Notice Addresses"/>
    <w:basedOn w:val="Normal"/>
    <w:link w:val="NoticeAddressesChar"/>
    <w:uiPriority w:val="99"/>
    <w:rsid w:val="008417FE"/>
    <w:pPr>
      <w:ind w:left="2880" w:hanging="2880"/>
    </w:pPr>
  </w:style>
  <w:style w:type="character" w:customStyle="1" w:styleId="FlushLeftChar">
    <w:name w:val="Flush Left Char"/>
    <w:basedOn w:val="DefaultParagraphFont"/>
    <w:link w:val="FlushLeft"/>
    <w:uiPriority w:val="99"/>
    <w:locked/>
    <w:rsid w:val="008417FE"/>
    <w:rPr>
      <w:rFonts w:cs="Times New Roman"/>
      <w:sz w:val="24"/>
    </w:rPr>
  </w:style>
  <w:style w:type="character" w:customStyle="1" w:styleId="NoticeAddressesChar">
    <w:name w:val="Notice Addresses Char"/>
    <w:basedOn w:val="FlushLeftChar"/>
    <w:link w:val="NoticeAddresses"/>
    <w:uiPriority w:val="99"/>
    <w:locked/>
    <w:rsid w:val="008417FE"/>
  </w:style>
  <w:style w:type="paragraph" w:styleId="BalloonText">
    <w:name w:val="Balloon Text"/>
    <w:basedOn w:val="Normal"/>
    <w:link w:val="BalloonTextChar"/>
    <w:uiPriority w:val="99"/>
    <w:semiHidden/>
    <w:rsid w:val="008417F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417FE"/>
    <w:rPr>
      <w:rFonts w:ascii="Tahoma" w:hAnsi="Tahoma" w:cs="Tahoma"/>
      <w:sz w:val="16"/>
      <w:szCs w:val="16"/>
    </w:rPr>
  </w:style>
  <w:style w:type="paragraph" w:styleId="Bibliography">
    <w:name w:val="Bibliography"/>
    <w:basedOn w:val="Normal"/>
    <w:next w:val="Normal"/>
    <w:uiPriority w:val="99"/>
    <w:semiHidden/>
    <w:rsid w:val="008417FE"/>
  </w:style>
  <w:style w:type="character" w:styleId="BookTitle">
    <w:name w:val="Book Title"/>
    <w:basedOn w:val="DefaultParagraphFont"/>
    <w:uiPriority w:val="99"/>
    <w:qFormat/>
    <w:rsid w:val="008417FE"/>
    <w:rPr>
      <w:rFonts w:cs="Times New Roman"/>
      <w:b/>
      <w:bCs/>
      <w:smallCaps/>
      <w:spacing w:val="5"/>
    </w:rPr>
  </w:style>
  <w:style w:type="table" w:styleId="ColorfulGrid">
    <w:name w:val="Colorful Grid"/>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ColorfulGrid-Accent1">
    <w:name w:val="Colorful Grid Accent 1"/>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Grid-Accent2">
    <w:name w:val="Colorful Grid Accent 2"/>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Times New Roman"/>
        <w:b/>
        <w:bCs/>
      </w:rPr>
      <w:tblPr/>
      <w:tcPr>
        <w:shd w:val="clear" w:color="auto" w:fill="E5B8B7"/>
      </w:tcPr>
    </w:tblStylePr>
    <w:tblStylePr w:type="lastRow">
      <w:rPr>
        <w:rFonts w:cs="Times New Roman"/>
        <w:b/>
        <w:bCs/>
        <w:color w:val="000000"/>
      </w:rPr>
      <w:tblPr/>
      <w:tcPr>
        <w:shd w:val="clear" w:color="auto" w:fill="E5B8B7"/>
      </w:tcPr>
    </w:tblStylePr>
    <w:tblStylePr w:type="firstCol">
      <w:rPr>
        <w:rFonts w:cs="Times New Roman"/>
        <w:color w:val="FFFFFF"/>
      </w:rPr>
      <w:tblPr/>
      <w:tcPr>
        <w:shd w:val="clear" w:color="auto" w:fill="943634"/>
      </w:tcPr>
    </w:tblStylePr>
    <w:tblStylePr w:type="lastCol">
      <w:rPr>
        <w:rFonts w:cs="Times New Roman"/>
        <w:color w:val="FFFFFF"/>
      </w:rPr>
      <w:tblPr/>
      <w:tcPr>
        <w:shd w:val="clear" w:color="auto" w:fill="943634"/>
      </w:tc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ColorfulGrid-Accent3">
    <w:name w:val="Colorful Grid Accent 3"/>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Times New Roman"/>
        <w:b/>
        <w:bCs/>
      </w:rPr>
      <w:tblPr/>
      <w:tcPr>
        <w:shd w:val="clear" w:color="auto" w:fill="D6E3BC"/>
      </w:tcPr>
    </w:tblStylePr>
    <w:tblStylePr w:type="lastRow">
      <w:rPr>
        <w:rFonts w:cs="Times New Roman"/>
        <w:b/>
        <w:bCs/>
        <w:color w:val="000000"/>
      </w:rPr>
      <w:tblPr/>
      <w:tcPr>
        <w:shd w:val="clear" w:color="auto" w:fill="D6E3BC"/>
      </w:tcPr>
    </w:tblStylePr>
    <w:tblStylePr w:type="firstCol">
      <w:rPr>
        <w:rFonts w:cs="Times New Roman"/>
        <w:color w:val="FFFFFF"/>
      </w:rPr>
      <w:tblPr/>
      <w:tcPr>
        <w:shd w:val="clear" w:color="auto" w:fill="76923C"/>
      </w:tcPr>
    </w:tblStylePr>
    <w:tblStylePr w:type="lastCol">
      <w:rPr>
        <w:rFonts w:cs="Times New Roman"/>
        <w:color w:val="FFFFFF"/>
      </w:rPr>
      <w:tblPr/>
      <w:tcPr>
        <w:shd w:val="clear" w:color="auto" w:fill="76923C"/>
      </w:tc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ColorfulGrid-Accent4">
    <w:name w:val="Colorful Grid Accent 4"/>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FFFFFF"/>
      </w:rPr>
      <w:tblPr/>
      <w:tcPr>
        <w:shd w:val="clear" w:color="auto" w:fill="5F497A"/>
      </w:tcPr>
    </w:tblStylePr>
    <w:tblStylePr w:type="lastCol">
      <w:rPr>
        <w:rFonts w:cs="Times New Roman"/>
        <w:color w:val="FFFFFF"/>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ColorfulGrid-Accent5">
    <w:name w:val="Colorful Grid Accent 5"/>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ColorfulGrid-Accent6">
    <w:name w:val="Colorful Grid Accent 6"/>
    <w:basedOn w:val="TableNormal"/>
    <w:uiPriority w:val="99"/>
    <w:rsid w:val="008417FE"/>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ColorfulList">
    <w:name w:val="Colorful List"/>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ColorfulList-Accent1">
    <w:name w:val="Colorful List Accent 1"/>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List-Accent2">
    <w:name w:val="Colorful List Accent 2"/>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ColorfulList-Accent3">
    <w:name w:val="Colorful List Accent 3"/>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ColorfulList-Accent4">
    <w:name w:val="Colorful List Accent 4"/>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Times New Roman"/>
        <w:b/>
        <w:bCs/>
        <w:color w:val="FFFFFF"/>
      </w:rPr>
      <w:tblPr/>
      <w:tcPr>
        <w:tcBorders>
          <w:bottom w:val="single" w:sz="12" w:space="0" w:color="FFFFFF"/>
        </w:tcBorders>
        <w:shd w:val="clear" w:color="auto" w:fill="7E9C40"/>
      </w:tcPr>
    </w:tblStylePr>
    <w:tblStylePr w:type="lastRow">
      <w:rPr>
        <w:rFonts w:cs="Times New Roman"/>
        <w:b/>
        <w:bCs/>
        <w:color w:val="7E9C4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ColorfulList-Accent5">
    <w:name w:val="Colorful List Accent 5"/>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Times New Roman"/>
        <w:b/>
        <w:bCs/>
        <w:color w:val="FFFFFF"/>
      </w:rPr>
      <w:tblPr/>
      <w:tcPr>
        <w:tcBorders>
          <w:bottom w:val="single" w:sz="12" w:space="0" w:color="FFFFFF"/>
        </w:tcBorders>
        <w:shd w:val="clear" w:color="auto" w:fill="F2730A"/>
      </w:tcPr>
    </w:tblStylePr>
    <w:tblStylePr w:type="lastRow">
      <w:rPr>
        <w:rFonts w:cs="Times New Roman"/>
        <w:b/>
        <w:bCs/>
        <w:color w:val="F2730A"/>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cPr>
    </w:tblStylePr>
    <w:tblStylePr w:type="band1Horz">
      <w:rPr>
        <w:rFonts w:cs="Times New Roman"/>
      </w:rPr>
      <w:tblPr/>
      <w:tcPr>
        <w:shd w:val="clear" w:color="auto" w:fill="DAEEF3"/>
      </w:tcPr>
    </w:tblStylePr>
  </w:style>
  <w:style w:type="table" w:styleId="ColorfulList-Accent6">
    <w:name w:val="Colorful List Accent 6"/>
    <w:basedOn w:val="TableNormal"/>
    <w:uiPriority w:val="99"/>
    <w:rsid w:val="008417FE"/>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table" w:styleId="ColorfulShading">
    <w:name w:val="Colorful Shading"/>
    <w:basedOn w:val="TableNormal"/>
    <w:uiPriority w:val="99"/>
    <w:rsid w:val="008417FE"/>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ColorfulShading-Accent1">
    <w:name w:val="Colorful Shading Accent 1"/>
    <w:basedOn w:val="TableNormal"/>
    <w:uiPriority w:val="99"/>
    <w:rsid w:val="008417FE"/>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ColorfulShading-Accent2">
    <w:name w:val="Colorful Shading Accent 2"/>
    <w:basedOn w:val="TableNormal"/>
    <w:uiPriority w:val="99"/>
    <w:rsid w:val="008417FE"/>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772C2A"/>
      </w:tcPr>
    </w:tblStylePr>
    <w:tblStylePr w:type="firstCol">
      <w:rPr>
        <w:rFonts w:cs="Times New Roman"/>
        <w:color w:val="FFFFFF"/>
      </w:rPr>
      <w:tblPr/>
      <w:tcPr>
        <w:tcBorders>
          <w:top w:val="nil"/>
          <w:left w:val="nil"/>
          <w:bottom w:val="nil"/>
          <w:right w:val="nil"/>
          <w:insideH w:val="single" w:sz="4" w:space="0" w:color="772C2A"/>
          <w:insideV w:val="nil"/>
        </w:tcBorders>
        <w:shd w:val="clear" w:color="auto" w:fill="772C2A"/>
      </w:tcPr>
    </w:tblStylePr>
    <w:tblStylePr w:type="lastCol">
      <w:rPr>
        <w:rFonts w:cs="Times New Roman"/>
        <w:color w:val="FFFFFF"/>
      </w:rPr>
      <w:tblPr/>
      <w:tcPr>
        <w:tcBorders>
          <w:top w:val="nil"/>
          <w:left w:val="nil"/>
          <w:bottom w:val="nil"/>
          <w:right w:val="nil"/>
          <w:insideH w:val="nil"/>
          <w:insideV w:val="nil"/>
        </w:tcBorders>
        <w:shd w:val="clear" w:color="auto" w:fill="772C2A"/>
      </w:tcPr>
    </w:tblStylePr>
    <w:tblStylePr w:type="band1Vert">
      <w:rPr>
        <w:rFonts w:cs="Times New Roman"/>
      </w:rPr>
      <w:tblPr/>
      <w:tcPr>
        <w:shd w:val="clear" w:color="auto" w:fill="E5B8B7"/>
      </w:tcPr>
    </w:tblStylePr>
    <w:tblStylePr w:type="band1Horz">
      <w:rPr>
        <w:rFonts w:cs="Times New Roman"/>
      </w:rPr>
      <w:tblPr/>
      <w:tcPr>
        <w:shd w:val="clear" w:color="auto" w:fill="DFA7A6"/>
      </w:tcPr>
    </w:tblStylePr>
    <w:tblStylePr w:type="neCell">
      <w:rPr>
        <w:rFonts w:cs="Times New Roman"/>
        <w:color w:val="000000"/>
      </w:rPr>
    </w:tblStylePr>
    <w:tblStylePr w:type="nwCell">
      <w:rPr>
        <w:rFonts w:cs="Times New Roman"/>
        <w:color w:val="000000"/>
      </w:rPr>
    </w:tblStylePr>
  </w:style>
  <w:style w:type="table" w:styleId="ColorfulShading-Accent3">
    <w:name w:val="Colorful Shading Accent 3"/>
    <w:basedOn w:val="TableNormal"/>
    <w:uiPriority w:val="99"/>
    <w:rsid w:val="008417FE"/>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5E7530"/>
      </w:tcPr>
    </w:tblStylePr>
    <w:tblStylePr w:type="firstCol">
      <w:rPr>
        <w:rFonts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FFFFFF"/>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ColorfulShading-Accent4">
    <w:name w:val="Colorful Shading Accent 4"/>
    <w:basedOn w:val="TableNormal"/>
    <w:uiPriority w:val="99"/>
    <w:rsid w:val="008417FE"/>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Times New Roman"/>
        <w:b/>
        <w:bCs/>
      </w:rPr>
      <w:tblPr/>
      <w:tcPr>
        <w:tcBorders>
          <w:top w:val="nil"/>
          <w:left w:val="nil"/>
          <w:bottom w:val="single" w:sz="24" w:space="0" w:color="9BBB59"/>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C3B62"/>
      </w:tcPr>
    </w:tblStylePr>
    <w:tblStylePr w:type="firstCol">
      <w:rPr>
        <w:rFonts w:cs="Times New Roman"/>
        <w:color w:val="FFFFFF"/>
      </w:rPr>
      <w:tblPr/>
      <w:tcPr>
        <w:tcBorders>
          <w:top w:val="nil"/>
          <w:left w:val="nil"/>
          <w:bottom w:val="nil"/>
          <w:right w:val="nil"/>
          <w:insideH w:val="single" w:sz="4" w:space="0" w:color="4C3B62"/>
          <w:insideV w:val="nil"/>
        </w:tcBorders>
        <w:shd w:val="clear" w:color="auto" w:fill="4C3B62"/>
      </w:tcPr>
    </w:tblStylePr>
    <w:tblStylePr w:type="lastCol">
      <w:rPr>
        <w:rFonts w:cs="Times New Roman"/>
        <w:color w:val="FFFFFF"/>
      </w:rPr>
      <w:tblPr/>
      <w:tcPr>
        <w:tcBorders>
          <w:top w:val="nil"/>
          <w:left w:val="nil"/>
          <w:bottom w:val="nil"/>
          <w:right w:val="nil"/>
          <w:insideH w:val="nil"/>
          <w:insideV w:val="nil"/>
        </w:tcBorders>
        <w:shd w:val="clear" w:color="auto" w:fill="4C3B62"/>
      </w:tcPr>
    </w:tblStylePr>
    <w:tblStylePr w:type="band1Vert">
      <w:rPr>
        <w:rFonts w:cs="Times New Roman"/>
      </w:rPr>
      <w:tblPr/>
      <w:tcPr>
        <w:shd w:val="clear" w:color="auto" w:fill="CCC0D9"/>
      </w:tcPr>
    </w:tblStylePr>
    <w:tblStylePr w:type="band1Horz">
      <w:rPr>
        <w:rFonts w:cs="Times New Roman"/>
      </w:rPr>
      <w:tblPr/>
      <w:tcPr>
        <w:shd w:val="clear" w:color="auto" w:fill="BFB1D0"/>
      </w:tcPr>
    </w:tblStylePr>
    <w:tblStylePr w:type="neCell">
      <w:rPr>
        <w:rFonts w:cs="Times New Roman"/>
        <w:color w:val="000000"/>
      </w:rPr>
    </w:tblStylePr>
    <w:tblStylePr w:type="nwCell">
      <w:rPr>
        <w:rFonts w:cs="Times New Roman"/>
        <w:color w:val="000000"/>
      </w:rPr>
    </w:tblStylePr>
  </w:style>
  <w:style w:type="table" w:styleId="ColorfulShading-Accent5">
    <w:name w:val="Colorful Shading Accent 5"/>
    <w:basedOn w:val="TableNormal"/>
    <w:uiPriority w:val="99"/>
    <w:rsid w:val="008417FE"/>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ColorfulShading-Accent6">
    <w:name w:val="Colorful Shading Accent 6"/>
    <w:basedOn w:val="TableNormal"/>
    <w:uiPriority w:val="99"/>
    <w:rsid w:val="008417FE"/>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Times New Roman"/>
        <w:b/>
        <w:bCs/>
      </w:rPr>
      <w:tblPr/>
      <w:tcPr>
        <w:tcBorders>
          <w:top w:val="nil"/>
          <w:left w:val="nil"/>
          <w:bottom w:val="single" w:sz="24" w:space="0" w:color="4BACC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B65608"/>
      </w:tcPr>
    </w:tblStylePr>
    <w:tblStylePr w:type="firstCol">
      <w:rPr>
        <w:rFonts w:cs="Times New Roman"/>
        <w:color w:val="FFFFFF"/>
      </w:rPr>
      <w:tblPr/>
      <w:tcPr>
        <w:tcBorders>
          <w:top w:val="nil"/>
          <w:left w:val="nil"/>
          <w:bottom w:val="nil"/>
          <w:right w:val="nil"/>
          <w:insideH w:val="single" w:sz="4" w:space="0" w:color="B65608"/>
          <w:insideV w:val="nil"/>
        </w:tcBorders>
        <w:shd w:val="clear" w:color="auto" w:fill="B65608"/>
      </w:tcPr>
    </w:tblStylePr>
    <w:tblStylePr w:type="lastCol">
      <w:rPr>
        <w:rFonts w:cs="Times New Roman"/>
        <w:color w:val="FFFFFF"/>
      </w:rPr>
      <w:tblPr/>
      <w:tcPr>
        <w:tcBorders>
          <w:top w:val="nil"/>
          <w:left w:val="nil"/>
          <w:bottom w:val="nil"/>
          <w:right w:val="nil"/>
          <w:insideH w:val="nil"/>
          <w:insideV w:val="nil"/>
        </w:tcBorders>
        <w:shd w:val="clear" w:color="auto" w:fill="B65608"/>
      </w:tcPr>
    </w:tblStylePr>
    <w:tblStylePr w:type="band1Vert">
      <w:rPr>
        <w:rFonts w:cs="Times New Roman"/>
      </w:rPr>
      <w:tblPr/>
      <w:tcPr>
        <w:shd w:val="clear" w:color="auto" w:fill="FBD4B4"/>
      </w:tcPr>
    </w:tblStylePr>
    <w:tblStylePr w:type="band1Horz">
      <w:rPr>
        <w:rFonts w:cs="Times New Roman"/>
      </w:rPr>
      <w:tblPr/>
      <w:tcPr>
        <w:shd w:val="clear" w:color="auto" w:fill="FBCAA2"/>
      </w:tcPr>
    </w:tblStylePr>
    <w:tblStylePr w:type="neCell">
      <w:rPr>
        <w:rFonts w:cs="Times New Roman"/>
        <w:color w:val="000000"/>
      </w:rPr>
    </w:tblStylePr>
    <w:tblStylePr w:type="nwCell">
      <w:rPr>
        <w:rFonts w:cs="Times New Roman"/>
        <w:color w:val="000000"/>
      </w:rPr>
    </w:tblStylePr>
  </w:style>
  <w:style w:type="character" w:styleId="CommentReference">
    <w:name w:val="annotation reference"/>
    <w:basedOn w:val="DefaultParagraphFont"/>
    <w:uiPriority w:val="99"/>
    <w:semiHidden/>
    <w:rsid w:val="008417FE"/>
    <w:rPr>
      <w:rFonts w:cs="Times New Roman"/>
      <w:sz w:val="16"/>
      <w:szCs w:val="16"/>
    </w:rPr>
  </w:style>
  <w:style w:type="paragraph" w:styleId="CommentSubject">
    <w:name w:val="annotation subject"/>
    <w:basedOn w:val="CommentText"/>
    <w:next w:val="CommentText"/>
    <w:link w:val="CommentSubjectChar"/>
    <w:uiPriority w:val="99"/>
    <w:semiHidden/>
    <w:rsid w:val="008417FE"/>
    <w:rPr>
      <w:b/>
      <w:bCs/>
    </w:rPr>
  </w:style>
  <w:style w:type="character" w:customStyle="1" w:styleId="CommentSubjectChar">
    <w:name w:val="Comment Subject Char"/>
    <w:basedOn w:val="CommentTextChar"/>
    <w:link w:val="CommentSubject"/>
    <w:uiPriority w:val="99"/>
    <w:locked/>
    <w:rsid w:val="008417FE"/>
  </w:style>
  <w:style w:type="table" w:styleId="DarkList">
    <w:name w:val="Dark List"/>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43F60"/>
      </w:tcPr>
    </w:tblStylePr>
    <w:tblStylePr w:type="firstCol">
      <w:rPr>
        <w:rFonts w:cs="Times New Roman"/>
      </w:rPr>
      <w:tblPr/>
      <w:tcPr>
        <w:tcBorders>
          <w:top w:val="nil"/>
          <w:left w:val="nil"/>
          <w:bottom w:val="nil"/>
          <w:right w:val="single" w:sz="18" w:space="0" w:color="FFFFFF"/>
          <w:insideH w:val="nil"/>
          <w:insideV w:val="nil"/>
        </w:tcBorders>
        <w:shd w:val="clear" w:color="auto" w:fill="365F91"/>
      </w:tcPr>
    </w:tblStylePr>
    <w:tblStylePr w:type="lastCol">
      <w:rPr>
        <w:rFonts w:cs="Times New Roman"/>
      </w:rPr>
      <w:tblPr/>
      <w:tcPr>
        <w:tcBorders>
          <w:top w:val="nil"/>
          <w:left w:val="single" w:sz="18" w:space="0" w:color="FFFFFF"/>
          <w:bottom w:val="nil"/>
          <w:right w:val="nil"/>
          <w:insideH w:val="nil"/>
          <w:insideV w:val="nil"/>
        </w:tcBorders>
        <w:shd w:val="clear" w:color="auto" w:fill="365F91"/>
      </w:tcPr>
    </w:tblStylePr>
    <w:tblStylePr w:type="band1Vert">
      <w:rPr>
        <w:rFonts w:cs="Times New Roman"/>
      </w:rPr>
      <w:tblPr/>
      <w:tcPr>
        <w:tcBorders>
          <w:top w:val="nil"/>
          <w:left w:val="nil"/>
          <w:bottom w:val="nil"/>
          <w:right w:val="nil"/>
          <w:insideH w:val="nil"/>
          <w:insideV w:val="nil"/>
        </w:tcBorders>
        <w:shd w:val="clear" w:color="auto" w:fill="365F91"/>
      </w:tcPr>
    </w:tblStylePr>
    <w:tblStylePr w:type="band1Horz">
      <w:rPr>
        <w:rFonts w:cs="Times New Roman"/>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622423"/>
      </w:tcPr>
    </w:tblStylePr>
    <w:tblStylePr w:type="firstCol">
      <w:rPr>
        <w:rFonts w:cs="Times New Roman"/>
      </w:rPr>
      <w:tblPr/>
      <w:tcPr>
        <w:tcBorders>
          <w:top w:val="nil"/>
          <w:left w:val="nil"/>
          <w:bottom w:val="nil"/>
          <w:right w:val="single" w:sz="18" w:space="0" w:color="FFFFFF"/>
          <w:insideH w:val="nil"/>
          <w:insideV w:val="nil"/>
        </w:tcBorders>
        <w:shd w:val="clear" w:color="auto" w:fill="943634"/>
      </w:tcPr>
    </w:tblStylePr>
    <w:tblStylePr w:type="lastCol">
      <w:rPr>
        <w:rFonts w:cs="Times New Roman"/>
      </w:rPr>
      <w:tblPr/>
      <w:tcPr>
        <w:tcBorders>
          <w:top w:val="nil"/>
          <w:left w:val="single" w:sz="18" w:space="0" w:color="FFFFFF"/>
          <w:bottom w:val="nil"/>
          <w:right w:val="nil"/>
          <w:insideH w:val="nil"/>
          <w:insideV w:val="nil"/>
        </w:tcBorders>
        <w:shd w:val="clear" w:color="auto" w:fill="943634"/>
      </w:tcPr>
    </w:tblStylePr>
    <w:tblStylePr w:type="band1Vert">
      <w:rPr>
        <w:rFonts w:cs="Times New Roman"/>
      </w:rPr>
      <w:tblPr/>
      <w:tcPr>
        <w:tcBorders>
          <w:top w:val="nil"/>
          <w:left w:val="nil"/>
          <w:bottom w:val="nil"/>
          <w:right w:val="nil"/>
          <w:insideH w:val="nil"/>
          <w:insideV w:val="nil"/>
        </w:tcBorders>
        <w:shd w:val="clear" w:color="auto" w:fill="943634"/>
      </w:tcPr>
    </w:tblStylePr>
    <w:tblStylePr w:type="band1Horz">
      <w:rPr>
        <w:rFonts w:cs="Times New Roman"/>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4E6128"/>
      </w:tcPr>
    </w:tblStylePr>
    <w:tblStylePr w:type="firstCol">
      <w:rPr>
        <w:rFonts w:cs="Times New Roman"/>
      </w:rPr>
      <w:tblPr/>
      <w:tcPr>
        <w:tcBorders>
          <w:top w:val="nil"/>
          <w:left w:val="nil"/>
          <w:bottom w:val="nil"/>
          <w:right w:val="single" w:sz="18" w:space="0" w:color="FFFFFF"/>
          <w:insideH w:val="nil"/>
          <w:insideV w:val="nil"/>
        </w:tcBorders>
        <w:shd w:val="clear" w:color="auto" w:fill="76923C"/>
      </w:tcPr>
    </w:tblStylePr>
    <w:tblStylePr w:type="lastCol">
      <w:rPr>
        <w:rFonts w:cs="Times New Roman"/>
      </w:rPr>
      <w:tblPr/>
      <w:tcPr>
        <w:tcBorders>
          <w:top w:val="nil"/>
          <w:left w:val="single" w:sz="18" w:space="0" w:color="FFFFFF"/>
          <w:bottom w:val="nil"/>
          <w:right w:val="nil"/>
          <w:insideH w:val="nil"/>
          <w:insideV w:val="nil"/>
        </w:tcBorders>
        <w:shd w:val="clear" w:color="auto" w:fill="76923C"/>
      </w:tcPr>
    </w:tblStylePr>
    <w:tblStylePr w:type="band1Vert">
      <w:rPr>
        <w:rFonts w:cs="Times New Roman"/>
      </w:rPr>
      <w:tblPr/>
      <w:tcPr>
        <w:tcBorders>
          <w:top w:val="nil"/>
          <w:left w:val="nil"/>
          <w:bottom w:val="nil"/>
          <w:right w:val="nil"/>
          <w:insideH w:val="nil"/>
          <w:insideV w:val="nil"/>
        </w:tcBorders>
        <w:shd w:val="clear" w:color="auto" w:fill="76923C"/>
      </w:tcPr>
    </w:tblStylePr>
    <w:tblStylePr w:type="band1Horz">
      <w:rPr>
        <w:rFonts w:cs="Times New Roman"/>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F3151"/>
      </w:tcPr>
    </w:tblStylePr>
    <w:tblStylePr w:type="firstCol">
      <w:rPr>
        <w:rFonts w:cs="Times New Roman"/>
      </w:rPr>
      <w:tblPr/>
      <w:tcPr>
        <w:tcBorders>
          <w:top w:val="nil"/>
          <w:left w:val="nil"/>
          <w:bottom w:val="nil"/>
          <w:right w:val="single" w:sz="18" w:space="0" w:color="FFFFFF"/>
          <w:insideH w:val="nil"/>
          <w:insideV w:val="nil"/>
        </w:tcBorders>
        <w:shd w:val="clear" w:color="auto" w:fill="5F497A"/>
      </w:tcPr>
    </w:tblStylePr>
    <w:tblStylePr w:type="lastCol">
      <w:rPr>
        <w:rFonts w:cs="Times New Roman"/>
      </w:rPr>
      <w:tblPr/>
      <w:tcPr>
        <w:tcBorders>
          <w:top w:val="nil"/>
          <w:left w:val="single" w:sz="18" w:space="0" w:color="FFFFFF"/>
          <w:bottom w:val="nil"/>
          <w:right w:val="nil"/>
          <w:insideH w:val="nil"/>
          <w:insideV w:val="nil"/>
        </w:tcBorders>
        <w:shd w:val="clear" w:color="auto" w:fill="5F497A"/>
      </w:tcPr>
    </w:tblStylePr>
    <w:tblStylePr w:type="band1Vert">
      <w:rPr>
        <w:rFonts w:cs="Times New Roman"/>
      </w:rPr>
      <w:tblPr/>
      <w:tcPr>
        <w:tcBorders>
          <w:top w:val="nil"/>
          <w:left w:val="nil"/>
          <w:bottom w:val="nil"/>
          <w:right w:val="nil"/>
          <w:insideH w:val="nil"/>
          <w:insideV w:val="nil"/>
        </w:tcBorders>
        <w:shd w:val="clear" w:color="auto" w:fill="5F497A"/>
      </w:tcPr>
    </w:tblStylePr>
    <w:tblStylePr w:type="band1Horz">
      <w:rPr>
        <w:rFonts w:cs="Times New Roman"/>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05867"/>
      </w:tcPr>
    </w:tblStylePr>
    <w:tblStylePr w:type="firstCol">
      <w:rPr>
        <w:rFonts w:cs="Times New Roman"/>
      </w:rPr>
      <w:tblPr/>
      <w:tcPr>
        <w:tcBorders>
          <w:top w:val="nil"/>
          <w:left w:val="nil"/>
          <w:bottom w:val="nil"/>
          <w:right w:val="single" w:sz="18" w:space="0" w:color="FFFFFF"/>
          <w:insideH w:val="nil"/>
          <w:insideV w:val="nil"/>
        </w:tcBorders>
        <w:shd w:val="clear" w:color="auto" w:fill="31849B"/>
      </w:tcPr>
    </w:tblStylePr>
    <w:tblStylePr w:type="lastCol">
      <w:rPr>
        <w:rFonts w:cs="Times New Roman"/>
      </w:rPr>
      <w:tblPr/>
      <w:tcPr>
        <w:tcBorders>
          <w:top w:val="nil"/>
          <w:left w:val="single" w:sz="18" w:space="0" w:color="FFFFFF"/>
          <w:bottom w:val="nil"/>
          <w:right w:val="nil"/>
          <w:insideH w:val="nil"/>
          <w:insideV w:val="nil"/>
        </w:tcBorders>
        <w:shd w:val="clear" w:color="auto" w:fill="31849B"/>
      </w:tcPr>
    </w:tblStylePr>
    <w:tblStylePr w:type="band1Vert">
      <w:rPr>
        <w:rFonts w:cs="Times New Roman"/>
      </w:rPr>
      <w:tblPr/>
      <w:tcPr>
        <w:tcBorders>
          <w:top w:val="nil"/>
          <w:left w:val="nil"/>
          <w:bottom w:val="nil"/>
          <w:right w:val="nil"/>
          <w:insideH w:val="nil"/>
          <w:insideV w:val="nil"/>
        </w:tcBorders>
        <w:shd w:val="clear" w:color="auto" w:fill="31849B"/>
      </w:tcPr>
    </w:tblStylePr>
    <w:tblStylePr w:type="band1Horz">
      <w:rPr>
        <w:rFonts w:cs="Times New Roman"/>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rsid w:val="008417FE"/>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974706"/>
      </w:tcPr>
    </w:tblStylePr>
    <w:tblStylePr w:type="firstCol">
      <w:rPr>
        <w:rFonts w:cs="Times New Roman"/>
      </w:rPr>
      <w:tblPr/>
      <w:tcPr>
        <w:tcBorders>
          <w:top w:val="nil"/>
          <w:left w:val="nil"/>
          <w:bottom w:val="nil"/>
          <w:right w:val="single" w:sz="18" w:space="0" w:color="FFFFFF"/>
          <w:insideH w:val="nil"/>
          <w:insideV w:val="nil"/>
        </w:tcBorders>
        <w:shd w:val="clear" w:color="auto" w:fill="E36C0A"/>
      </w:tcPr>
    </w:tblStylePr>
    <w:tblStylePr w:type="lastCol">
      <w:rPr>
        <w:rFonts w:cs="Times New Roman"/>
      </w:rPr>
      <w:tblPr/>
      <w:tcPr>
        <w:tcBorders>
          <w:top w:val="nil"/>
          <w:left w:val="single" w:sz="18" w:space="0" w:color="FFFFFF"/>
          <w:bottom w:val="nil"/>
          <w:right w:val="nil"/>
          <w:insideH w:val="nil"/>
          <w:insideV w:val="nil"/>
        </w:tcBorders>
        <w:shd w:val="clear" w:color="auto" w:fill="E36C0A"/>
      </w:tcPr>
    </w:tblStylePr>
    <w:tblStylePr w:type="band1Vert">
      <w:rPr>
        <w:rFonts w:cs="Times New Roman"/>
      </w:rPr>
      <w:tblPr/>
      <w:tcPr>
        <w:tcBorders>
          <w:top w:val="nil"/>
          <w:left w:val="nil"/>
          <w:bottom w:val="nil"/>
          <w:right w:val="nil"/>
          <w:insideH w:val="nil"/>
          <w:insideV w:val="nil"/>
        </w:tcBorders>
        <w:shd w:val="clear" w:color="auto" w:fill="E36C0A"/>
      </w:tcPr>
    </w:tblStylePr>
    <w:tblStylePr w:type="band1Horz">
      <w:rPr>
        <w:rFonts w:cs="Times New Roman"/>
      </w:rPr>
      <w:tblPr/>
      <w:tcPr>
        <w:tcBorders>
          <w:top w:val="nil"/>
          <w:left w:val="nil"/>
          <w:bottom w:val="nil"/>
          <w:right w:val="nil"/>
          <w:insideH w:val="nil"/>
          <w:insideV w:val="nil"/>
        </w:tcBorders>
        <w:shd w:val="clear" w:color="auto" w:fill="E36C0A"/>
      </w:tcPr>
    </w:tblStylePr>
  </w:style>
  <w:style w:type="paragraph" w:styleId="E-mailSignature">
    <w:name w:val="E-mail Signature"/>
    <w:basedOn w:val="Normal"/>
    <w:link w:val="E-mailSignatureChar"/>
    <w:uiPriority w:val="99"/>
    <w:semiHidden/>
    <w:rsid w:val="008417FE"/>
  </w:style>
  <w:style w:type="character" w:customStyle="1" w:styleId="E-mailSignatureChar">
    <w:name w:val="E-mail Signature Char"/>
    <w:basedOn w:val="DefaultParagraphFont"/>
    <w:link w:val="E-mailSignature"/>
    <w:uiPriority w:val="99"/>
    <w:semiHidden/>
    <w:locked/>
    <w:rsid w:val="008417FE"/>
    <w:rPr>
      <w:rFonts w:cs="Times New Roman"/>
      <w:sz w:val="24"/>
    </w:rPr>
  </w:style>
  <w:style w:type="character" w:styleId="Emphasis">
    <w:name w:val="Emphasis"/>
    <w:basedOn w:val="DefaultParagraphFont"/>
    <w:uiPriority w:val="99"/>
    <w:qFormat/>
    <w:rsid w:val="008417FE"/>
    <w:rPr>
      <w:rFonts w:cs="Times New Roman"/>
      <w:i/>
      <w:iCs/>
    </w:rPr>
  </w:style>
  <w:style w:type="character" w:styleId="EndnoteReference">
    <w:name w:val="endnote reference"/>
    <w:basedOn w:val="DefaultParagraphFont"/>
    <w:uiPriority w:val="99"/>
    <w:semiHidden/>
    <w:rsid w:val="008417FE"/>
    <w:rPr>
      <w:rFonts w:cs="Times New Roman"/>
      <w:vertAlign w:val="superscript"/>
    </w:rPr>
  </w:style>
  <w:style w:type="character" w:styleId="FollowedHyperlink">
    <w:name w:val="FollowedHyperlink"/>
    <w:basedOn w:val="DefaultParagraphFont"/>
    <w:uiPriority w:val="99"/>
    <w:semiHidden/>
    <w:rsid w:val="008417FE"/>
    <w:rPr>
      <w:rFonts w:cs="Times New Roman"/>
      <w:color w:val="800080"/>
      <w:u w:val="single"/>
    </w:rPr>
  </w:style>
  <w:style w:type="character" w:styleId="HTMLAcronym">
    <w:name w:val="HTML Acronym"/>
    <w:basedOn w:val="DefaultParagraphFont"/>
    <w:uiPriority w:val="99"/>
    <w:semiHidden/>
    <w:rsid w:val="008417FE"/>
    <w:rPr>
      <w:rFonts w:cs="Times New Roman"/>
    </w:rPr>
  </w:style>
  <w:style w:type="paragraph" w:styleId="HTMLAddress">
    <w:name w:val="HTML Address"/>
    <w:basedOn w:val="Normal"/>
    <w:link w:val="HTMLAddressChar"/>
    <w:uiPriority w:val="99"/>
    <w:semiHidden/>
    <w:rsid w:val="008417FE"/>
    <w:rPr>
      <w:i/>
      <w:iCs/>
    </w:rPr>
  </w:style>
  <w:style w:type="character" w:customStyle="1" w:styleId="HTMLAddressChar">
    <w:name w:val="HTML Address Char"/>
    <w:basedOn w:val="DefaultParagraphFont"/>
    <w:link w:val="HTMLAddress"/>
    <w:uiPriority w:val="99"/>
    <w:semiHidden/>
    <w:locked/>
    <w:rsid w:val="008417FE"/>
    <w:rPr>
      <w:rFonts w:cs="Times New Roman"/>
      <w:i/>
      <w:iCs/>
      <w:sz w:val="24"/>
    </w:rPr>
  </w:style>
  <w:style w:type="character" w:styleId="HTMLCite">
    <w:name w:val="HTML Cite"/>
    <w:basedOn w:val="DefaultParagraphFont"/>
    <w:uiPriority w:val="99"/>
    <w:semiHidden/>
    <w:rsid w:val="008417FE"/>
    <w:rPr>
      <w:rFonts w:cs="Times New Roman"/>
      <w:i/>
      <w:iCs/>
    </w:rPr>
  </w:style>
  <w:style w:type="character" w:styleId="HTMLCode">
    <w:name w:val="HTML Code"/>
    <w:basedOn w:val="DefaultParagraphFont"/>
    <w:uiPriority w:val="99"/>
    <w:semiHidden/>
    <w:rsid w:val="008417FE"/>
    <w:rPr>
      <w:rFonts w:ascii="Consolas" w:hAnsi="Consolas" w:cs="Times New Roman"/>
      <w:sz w:val="20"/>
      <w:szCs w:val="20"/>
    </w:rPr>
  </w:style>
  <w:style w:type="character" w:styleId="HTMLDefinition">
    <w:name w:val="HTML Definition"/>
    <w:basedOn w:val="DefaultParagraphFont"/>
    <w:uiPriority w:val="99"/>
    <w:semiHidden/>
    <w:rsid w:val="008417FE"/>
    <w:rPr>
      <w:rFonts w:cs="Times New Roman"/>
      <w:i/>
      <w:iCs/>
    </w:rPr>
  </w:style>
  <w:style w:type="character" w:styleId="HTMLKeyboard">
    <w:name w:val="HTML Keyboard"/>
    <w:basedOn w:val="DefaultParagraphFont"/>
    <w:uiPriority w:val="99"/>
    <w:semiHidden/>
    <w:rsid w:val="008417FE"/>
    <w:rPr>
      <w:rFonts w:ascii="Consolas" w:hAnsi="Consolas" w:cs="Times New Roman"/>
      <w:sz w:val="20"/>
      <w:szCs w:val="20"/>
    </w:rPr>
  </w:style>
  <w:style w:type="paragraph" w:styleId="HTMLPreformatted">
    <w:name w:val="HTML Preformatted"/>
    <w:basedOn w:val="Normal"/>
    <w:link w:val="HTMLPreformattedChar"/>
    <w:uiPriority w:val="99"/>
    <w:semiHidden/>
    <w:rsid w:val="008417FE"/>
    <w:rPr>
      <w:rFonts w:ascii="Consolas" w:hAnsi="Consolas"/>
      <w:sz w:val="20"/>
    </w:rPr>
  </w:style>
  <w:style w:type="character" w:customStyle="1" w:styleId="HTMLPreformattedChar">
    <w:name w:val="HTML Preformatted Char"/>
    <w:basedOn w:val="DefaultParagraphFont"/>
    <w:link w:val="HTMLPreformatted"/>
    <w:uiPriority w:val="99"/>
    <w:semiHidden/>
    <w:locked/>
    <w:rsid w:val="008417FE"/>
    <w:rPr>
      <w:rFonts w:ascii="Consolas" w:hAnsi="Consolas" w:cs="Times New Roman"/>
    </w:rPr>
  </w:style>
  <w:style w:type="character" w:styleId="HTMLSample">
    <w:name w:val="HTML Sample"/>
    <w:basedOn w:val="DefaultParagraphFont"/>
    <w:uiPriority w:val="99"/>
    <w:semiHidden/>
    <w:rsid w:val="008417FE"/>
    <w:rPr>
      <w:rFonts w:ascii="Consolas" w:hAnsi="Consolas" w:cs="Times New Roman"/>
      <w:sz w:val="24"/>
      <w:szCs w:val="24"/>
    </w:rPr>
  </w:style>
  <w:style w:type="character" w:styleId="HTMLTypewriter">
    <w:name w:val="HTML Typewriter"/>
    <w:basedOn w:val="DefaultParagraphFont"/>
    <w:uiPriority w:val="99"/>
    <w:semiHidden/>
    <w:rsid w:val="008417FE"/>
    <w:rPr>
      <w:rFonts w:ascii="Consolas" w:hAnsi="Consolas" w:cs="Times New Roman"/>
      <w:sz w:val="20"/>
      <w:szCs w:val="20"/>
    </w:rPr>
  </w:style>
  <w:style w:type="character" w:styleId="HTMLVariable">
    <w:name w:val="HTML Variable"/>
    <w:basedOn w:val="DefaultParagraphFont"/>
    <w:uiPriority w:val="99"/>
    <w:semiHidden/>
    <w:rsid w:val="008417FE"/>
    <w:rPr>
      <w:rFonts w:cs="Times New Roman"/>
      <w:i/>
      <w:iCs/>
    </w:rPr>
  </w:style>
  <w:style w:type="character" w:styleId="Hyperlink">
    <w:name w:val="Hyperlink"/>
    <w:basedOn w:val="DefaultParagraphFont"/>
    <w:uiPriority w:val="99"/>
    <w:rsid w:val="008417FE"/>
    <w:rPr>
      <w:rFonts w:cs="Times New Roman"/>
      <w:color w:val="0000FF"/>
      <w:u w:val="single"/>
    </w:rPr>
  </w:style>
  <w:style w:type="character" w:styleId="IntenseEmphasis">
    <w:name w:val="Intense Emphasis"/>
    <w:basedOn w:val="DefaultParagraphFont"/>
    <w:uiPriority w:val="99"/>
    <w:qFormat/>
    <w:rsid w:val="008417FE"/>
    <w:rPr>
      <w:rFonts w:cs="Times New Roman"/>
      <w:b/>
      <w:bCs/>
      <w:i/>
      <w:iCs/>
      <w:color w:val="4F81BD"/>
    </w:rPr>
  </w:style>
  <w:style w:type="paragraph" w:styleId="IntenseQuote">
    <w:name w:val="Intense Quote"/>
    <w:basedOn w:val="Normal"/>
    <w:next w:val="Normal"/>
    <w:link w:val="IntenseQuoteChar"/>
    <w:uiPriority w:val="99"/>
    <w:qFormat/>
    <w:rsid w:val="008417F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8417FE"/>
    <w:rPr>
      <w:rFonts w:cs="Times New Roman"/>
      <w:b/>
      <w:bCs/>
      <w:i/>
      <w:iCs/>
      <w:color w:val="4F81BD"/>
      <w:sz w:val="24"/>
    </w:rPr>
  </w:style>
  <w:style w:type="character" w:styleId="IntenseReference">
    <w:name w:val="Intense Reference"/>
    <w:basedOn w:val="DefaultParagraphFont"/>
    <w:uiPriority w:val="99"/>
    <w:qFormat/>
    <w:rsid w:val="008417FE"/>
    <w:rPr>
      <w:rFonts w:cs="Times New Roman"/>
      <w:b/>
      <w:bCs/>
      <w:smallCaps/>
      <w:color w:val="C0504D"/>
      <w:spacing w:val="5"/>
      <w:u w:val="single"/>
    </w:rPr>
  </w:style>
  <w:style w:type="table" w:styleId="LightGrid">
    <w:name w:val="Light Grid"/>
    <w:basedOn w:val="TableNormal"/>
    <w:uiPriority w:val="99"/>
    <w:rsid w:val="008417FE"/>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Mang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rsid w:val="008417FE"/>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Mangal"/>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Times New Roman"/>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rsid w:val="008417FE"/>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Mangal"/>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rsid w:val="008417FE"/>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Mangal"/>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rsid w:val="008417FE"/>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Mangal"/>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rsid w:val="008417FE"/>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Mangal"/>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rsid w:val="008417FE"/>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Mangal"/>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Mangal"/>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Mangal"/>
        <w:b/>
        <w:bCs/>
      </w:rPr>
    </w:tblStylePr>
    <w:tblStylePr w:type="lastCol">
      <w:rPr>
        <w:rFonts w:ascii="Cambria" w:eastAsia="Times New Roman" w:hAnsi="Cambria" w:cs="Mangal"/>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rsid w:val="008417FE"/>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8417FE"/>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rsid w:val="008417FE"/>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rsid w:val="008417FE"/>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rsid w:val="008417FE"/>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rsid w:val="008417FE"/>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rsid w:val="008417FE"/>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rsid w:val="008417FE"/>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rsid w:val="008417FE"/>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rsid w:val="008417FE"/>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rsid w:val="008417FE"/>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rsid w:val="008417FE"/>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rsid w:val="008417FE"/>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rsid w:val="008417FE"/>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paragraph" w:styleId="ListParagraph">
    <w:name w:val="List Paragraph"/>
    <w:basedOn w:val="Normal"/>
    <w:uiPriority w:val="99"/>
    <w:qFormat/>
    <w:rsid w:val="008417FE"/>
    <w:pPr>
      <w:ind w:left="720"/>
      <w:contextualSpacing/>
    </w:pPr>
  </w:style>
  <w:style w:type="table" w:styleId="MediumGrid1">
    <w:name w:val="Medium Grid 1"/>
    <w:basedOn w:val="TableNormal"/>
    <w:uiPriority w:val="99"/>
    <w:rsid w:val="008417FE"/>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MediumGrid1-Accent1">
    <w:name w:val="Medium Grid 1 Accent 1"/>
    <w:basedOn w:val="TableNormal"/>
    <w:uiPriority w:val="99"/>
    <w:rsid w:val="008417FE"/>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MediumGrid1-Accent2">
    <w:name w:val="Medium Grid 1 Accent 2"/>
    <w:basedOn w:val="TableNormal"/>
    <w:uiPriority w:val="99"/>
    <w:rsid w:val="008417FE"/>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MediumGrid1-Accent3">
    <w:name w:val="Medium Grid 1 Accent 3"/>
    <w:basedOn w:val="TableNormal"/>
    <w:uiPriority w:val="99"/>
    <w:rsid w:val="008417FE"/>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MediumGrid1-Accent4">
    <w:name w:val="Medium Grid 1 Accent 4"/>
    <w:basedOn w:val="TableNormal"/>
    <w:uiPriority w:val="99"/>
    <w:rsid w:val="008417FE"/>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MediumGrid1-Accent5">
    <w:name w:val="Medium Grid 1 Accent 5"/>
    <w:basedOn w:val="TableNormal"/>
    <w:uiPriority w:val="99"/>
    <w:rsid w:val="008417FE"/>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MediumGrid1-Accent6">
    <w:name w:val="Medium Grid 1 Accent 6"/>
    <w:basedOn w:val="TableNormal"/>
    <w:uiPriority w:val="99"/>
    <w:rsid w:val="008417FE"/>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MediumGrid2">
    <w:name w:val="Medium Grid 2"/>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Mangal"/>
        <w:b/>
        <w:bCs/>
        <w:color w:val="000000"/>
      </w:rPr>
      <w:tblPr/>
      <w:tcPr>
        <w:shd w:val="clear" w:color="auto" w:fill="E6E6E6"/>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CCCCCC"/>
      </w:tcPr>
    </w:tblStylePr>
    <w:tblStylePr w:type="band1Vert">
      <w:rPr>
        <w:rFonts w:cs="Mangal"/>
      </w:rPr>
      <w:tblPr/>
      <w:tcPr>
        <w:shd w:val="clear" w:color="auto" w:fill="808080"/>
      </w:tcPr>
    </w:tblStylePr>
    <w:tblStylePr w:type="band1Horz">
      <w:rPr>
        <w:rFonts w:cs="Mangal"/>
      </w:rPr>
      <w:tblPr/>
      <w:tcPr>
        <w:tcBorders>
          <w:insideH w:val="single" w:sz="6" w:space="0" w:color="000000"/>
          <w:insideV w:val="single" w:sz="6" w:space="0" w:color="000000"/>
        </w:tcBorders>
        <w:shd w:val="clear" w:color="auto" w:fill="808080"/>
      </w:tcPr>
    </w:tblStylePr>
    <w:tblStylePr w:type="nwCell">
      <w:rPr>
        <w:rFonts w:cs="Mangal"/>
      </w:rPr>
      <w:tblPr/>
      <w:tcPr>
        <w:shd w:val="clear" w:color="auto" w:fill="FFFFFF"/>
      </w:tcPr>
    </w:tblStylePr>
  </w:style>
  <w:style w:type="table" w:styleId="MediumGrid2-Accent1">
    <w:name w:val="Medium Grid 2 Accent 1"/>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Mangal"/>
        <w:b/>
        <w:bCs/>
        <w:color w:val="000000"/>
      </w:rPr>
      <w:tblPr/>
      <w:tcPr>
        <w:shd w:val="clear" w:color="auto" w:fill="EDF2F8"/>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DBE5F1"/>
      </w:tcPr>
    </w:tblStylePr>
    <w:tblStylePr w:type="band1Vert">
      <w:rPr>
        <w:rFonts w:cs="Mangal"/>
      </w:rPr>
      <w:tblPr/>
      <w:tcPr>
        <w:shd w:val="clear" w:color="auto" w:fill="A7BFDE"/>
      </w:tcPr>
    </w:tblStylePr>
    <w:tblStylePr w:type="band1Horz">
      <w:rPr>
        <w:rFonts w:cs="Mangal"/>
      </w:rPr>
      <w:tblPr/>
      <w:tcPr>
        <w:tcBorders>
          <w:insideH w:val="single" w:sz="6" w:space="0" w:color="4F81BD"/>
          <w:insideV w:val="single" w:sz="6" w:space="0" w:color="4F81BD"/>
        </w:tcBorders>
        <w:shd w:val="clear" w:color="auto" w:fill="A7BFDE"/>
      </w:tcPr>
    </w:tblStylePr>
    <w:tblStylePr w:type="nwCell">
      <w:rPr>
        <w:rFonts w:cs="Mangal"/>
      </w:rPr>
      <w:tblPr/>
      <w:tcPr>
        <w:shd w:val="clear" w:color="auto" w:fill="FFFFFF"/>
      </w:tcPr>
    </w:tblStylePr>
  </w:style>
  <w:style w:type="table" w:styleId="MediumGrid2-Accent2">
    <w:name w:val="Medium Grid 2 Accent 2"/>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Mangal"/>
        <w:b/>
        <w:bCs/>
        <w:color w:val="000000"/>
      </w:rPr>
      <w:tblPr/>
      <w:tcPr>
        <w:shd w:val="clear" w:color="auto" w:fill="F8EDED"/>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F2DBDB"/>
      </w:tcPr>
    </w:tblStylePr>
    <w:tblStylePr w:type="band1Vert">
      <w:rPr>
        <w:rFonts w:cs="Mangal"/>
      </w:rPr>
      <w:tblPr/>
      <w:tcPr>
        <w:shd w:val="clear" w:color="auto" w:fill="DFA7A6"/>
      </w:tcPr>
    </w:tblStylePr>
    <w:tblStylePr w:type="band1Horz">
      <w:rPr>
        <w:rFonts w:cs="Mangal"/>
      </w:rPr>
      <w:tblPr/>
      <w:tcPr>
        <w:tcBorders>
          <w:insideH w:val="single" w:sz="6" w:space="0" w:color="C0504D"/>
          <w:insideV w:val="single" w:sz="6" w:space="0" w:color="C0504D"/>
        </w:tcBorders>
        <w:shd w:val="clear" w:color="auto" w:fill="DFA7A6"/>
      </w:tcPr>
    </w:tblStylePr>
    <w:tblStylePr w:type="nwCell">
      <w:rPr>
        <w:rFonts w:cs="Mangal"/>
      </w:rPr>
      <w:tblPr/>
      <w:tcPr>
        <w:shd w:val="clear" w:color="auto" w:fill="FFFFFF"/>
      </w:tcPr>
    </w:tblStylePr>
  </w:style>
  <w:style w:type="table" w:styleId="MediumGrid2-Accent3">
    <w:name w:val="Medium Grid 2 Accent 3"/>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Mangal"/>
        <w:b/>
        <w:bCs/>
        <w:color w:val="000000"/>
      </w:rPr>
      <w:tblPr/>
      <w:tcPr>
        <w:shd w:val="clear" w:color="auto" w:fill="F5F8EE"/>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EAF1DD"/>
      </w:tcPr>
    </w:tblStylePr>
    <w:tblStylePr w:type="band1Vert">
      <w:rPr>
        <w:rFonts w:cs="Mangal"/>
      </w:rPr>
      <w:tblPr/>
      <w:tcPr>
        <w:shd w:val="clear" w:color="auto" w:fill="CDDDAC"/>
      </w:tcPr>
    </w:tblStylePr>
    <w:tblStylePr w:type="band1Horz">
      <w:rPr>
        <w:rFonts w:cs="Mangal"/>
      </w:rPr>
      <w:tblPr/>
      <w:tcPr>
        <w:tcBorders>
          <w:insideH w:val="single" w:sz="6" w:space="0" w:color="9BBB59"/>
          <w:insideV w:val="single" w:sz="6" w:space="0" w:color="9BBB59"/>
        </w:tcBorders>
        <w:shd w:val="clear" w:color="auto" w:fill="CDDDAC"/>
      </w:tcPr>
    </w:tblStylePr>
    <w:tblStylePr w:type="nwCell">
      <w:rPr>
        <w:rFonts w:cs="Mangal"/>
      </w:rPr>
      <w:tblPr/>
      <w:tcPr>
        <w:shd w:val="clear" w:color="auto" w:fill="FFFFFF"/>
      </w:tcPr>
    </w:tblStylePr>
  </w:style>
  <w:style w:type="table" w:styleId="MediumGrid2-Accent4">
    <w:name w:val="Medium Grid 2 Accent 4"/>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Mangal"/>
        <w:b/>
        <w:bCs/>
        <w:color w:val="000000"/>
      </w:rPr>
      <w:tblPr/>
      <w:tcPr>
        <w:shd w:val="clear" w:color="auto" w:fill="F2EFF6"/>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E5DFEC"/>
      </w:tcPr>
    </w:tblStylePr>
    <w:tblStylePr w:type="band1Vert">
      <w:rPr>
        <w:rFonts w:cs="Mangal"/>
      </w:rPr>
      <w:tblPr/>
      <w:tcPr>
        <w:shd w:val="clear" w:color="auto" w:fill="BFB1D0"/>
      </w:tcPr>
    </w:tblStylePr>
    <w:tblStylePr w:type="band1Horz">
      <w:rPr>
        <w:rFonts w:cs="Mangal"/>
      </w:rPr>
      <w:tblPr/>
      <w:tcPr>
        <w:tcBorders>
          <w:insideH w:val="single" w:sz="6" w:space="0" w:color="8064A2"/>
          <w:insideV w:val="single" w:sz="6" w:space="0" w:color="8064A2"/>
        </w:tcBorders>
        <w:shd w:val="clear" w:color="auto" w:fill="BFB1D0"/>
      </w:tcPr>
    </w:tblStylePr>
    <w:tblStylePr w:type="nwCell">
      <w:rPr>
        <w:rFonts w:cs="Mangal"/>
      </w:rPr>
      <w:tblPr/>
      <w:tcPr>
        <w:shd w:val="clear" w:color="auto" w:fill="FFFFFF"/>
      </w:tcPr>
    </w:tblStylePr>
  </w:style>
  <w:style w:type="table" w:styleId="MediumGrid2-Accent5">
    <w:name w:val="Medium Grid 2 Accent 5"/>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Mangal"/>
        <w:b/>
        <w:bCs/>
        <w:color w:val="000000"/>
      </w:rPr>
      <w:tblPr/>
      <w:tcPr>
        <w:shd w:val="clear" w:color="auto" w:fill="EDF6F9"/>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DAEEF3"/>
      </w:tcPr>
    </w:tblStylePr>
    <w:tblStylePr w:type="band1Vert">
      <w:rPr>
        <w:rFonts w:cs="Mangal"/>
      </w:rPr>
      <w:tblPr/>
      <w:tcPr>
        <w:shd w:val="clear" w:color="auto" w:fill="A5D5E2"/>
      </w:tcPr>
    </w:tblStylePr>
    <w:tblStylePr w:type="band1Horz">
      <w:rPr>
        <w:rFonts w:cs="Mangal"/>
      </w:rPr>
      <w:tblPr/>
      <w:tcPr>
        <w:tcBorders>
          <w:insideH w:val="single" w:sz="6" w:space="0" w:color="4BACC6"/>
          <w:insideV w:val="single" w:sz="6" w:space="0" w:color="4BACC6"/>
        </w:tcBorders>
        <w:shd w:val="clear" w:color="auto" w:fill="A5D5E2"/>
      </w:tcPr>
    </w:tblStylePr>
    <w:tblStylePr w:type="nwCell">
      <w:rPr>
        <w:rFonts w:cs="Mangal"/>
      </w:rPr>
      <w:tblPr/>
      <w:tcPr>
        <w:shd w:val="clear" w:color="auto" w:fill="FFFFFF"/>
      </w:tcPr>
    </w:tblStylePr>
  </w:style>
  <w:style w:type="table" w:styleId="MediumGrid2-Accent6">
    <w:name w:val="Medium Grid 2 Accent 6"/>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Mangal"/>
        <w:b/>
        <w:bCs/>
        <w:color w:val="000000"/>
      </w:rPr>
      <w:tblPr/>
      <w:tcPr>
        <w:shd w:val="clear" w:color="auto" w:fill="FEF4EC"/>
      </w:tcPr>
    </w:tblStylePr>
    <w:tblStylePr w:type="lastRow">
      <w:rPr>
        <w:rFonts w:cs="Mangal"/>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Mangal"/>
        <w:b/>
        <w:bCs/>
        <w:color w:val="000000"/>
      </w:rPr>
      <w:tblPr/>
      <w:tcPr>
        <w:tcBorders>
          <w:top w:val="nil"/>
          <w:left w:val="nil"/>
          <w:bottom w:val="nil"/>
          <w:right w:val="nil"/>
          <w:insideH w:val="nil"/>
          <w:insideV w:val="nil"/>
        </w:tcBorders>
        <w:shd w:val="clear" w:color="auto" w:fill="FFFFFF"/>
      </w:tcPr>
    </w:tblStylePr>
    <w:tblStylePr w:type="lastCol">
      <w:rPr>
        <w:rFonts w:cs="Mangal"/>
        <w:b w:val="0"/>
        <w:bCs w:val="0"/>
        <w:color w:val="000000"/>
      </w:rPr>
      <w:tblPr/>
      <w:tcPr>
        <w:tcBorders>
          <w:top w:val="nil"/>
          <w:left w:val="nil"/>
          <w:bottom w:val="nil"/>
          <w:right w:val="nil"/>
          <w:insideH w:val="nil"/>
          <w:insideV w:val="nil"/>
        </w:tcBorders>
        <w:shd w:val="clear" w:color="auto" w:fill="FDE9D9"/>
      </w:tcPr>
    </w:tblStylePr>
    <w:tblStylePr w:type="band1Vert">
      <w:rPr>
        <w:rFonts w:cs="Mangal"/>
      </w:rPr>
      <w:tblPr/>
      <w:tcPr>
        <w:shd w:val="clear" w:color="auto" w:fill="FBCAA2"/>
      </w:tcPr>
    </w:tblStylePr>
    <w:tblStylePr w:type="band1Horz">
      <w:rPr>
        <w:rFonts w:cs="Mangal"/>
      </w:rPr>
      <w:tblPr/>
      <w:tcPr>
        <w:tcBorders>
          <w:insideH w:val="single" w:sz="6" w:space="0" w:color="F79646"/>
          <w:insideV w:val="single" w:sz="6" w:space="0" w:color="F79646"/>
        </w:tcBorders>
        <w:shd w:val="clear" w:color="auto" w:fill="FBCAA2"/>
      </w:tcPr>
    </w:tblStylePr>
    <w:tblStylePr w:type="nwCell">
      <w:rPr>
        <w:rFonts w:cs="Mangal"/>
      </w:rPr>
      <w:tblPr/>
      <w:tcPr>
        <w:shd w:val="clear" w:color="auto" w:fill="FFFFFF"/>
      </w:tcPr>
    </w:tblStylePr>
  </w:style>
  <w:style w:type="table" w:styleId="MediumGrid3">
    <w:name w:val="Medium Grid 3"/>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rsid w:val="008417FE"/>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rsid w:val="008417FE"/>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000000"/>
        </w:tcBorders>
      </w:tcPr>
    </w:tblStylePr>
    <w:tblStylePr w:type="lastRow">
      <w:rPr>
        <w:rFonts w:cs="Times New Roman"/>
        <w:b/>
        <w:bCs/>
        <w:color w:val="1F497D"/>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MediumList1-Accent1">
    <w:name w:val="Medium List 1 Accent 1"/>
    <w:basedOn w:val="TableNormal"/>
    <w:uiPriority w:val="99"/>
    <w:rsid w:val="008417FE"/>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4F81BD"/>
        </w:tcBorders>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table" w:styleId="MediumList1-Accent2">
    <w:name w:val="Medium List 1 Accent 2"/>
    <w:basedOn w:val="TableNormal"/>
    <w:uiPriority w:val="99"/>
    <w:rsid w:val="008417FE"/>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MediumList1-Accent3">
    <w:name w:val="Medium List 1 Accent 3"/>
    <w:basedOn w:val="TableNormal"/>
    <w:uiPriority w:val="99"/>
    <w:rsid w:val="008417FE"/>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9BBB59"/>
        </w:tcBorders>
      </w:tcPr>
    </w:tblStylePr>
    <w:tblStylePr w:type="lastRow">
      <w:rPr>
        <w:rFonts w:cs="Times New Roman"/>
        <w:b/>
        <w:bCs/>
        <w:color w:val="1F497D"/>
      </w:rPr>
      <w:tblPr/>
      <w:tcPr>
        <w:tcBorders>
          <w:top w:val="single" w:sz="8" w:space="0" w:color="9BBB59"/>
          <w:bottom w:val="single" w:sz="8" w:space="0" w:color="9BBB59"/>
        </w:tcBorders>
      </w:tcPr>
    </w:tblStylePr>
    <w:tblStylePr w:type="firstCol">
      <w:rPr>
        <w:rFonts w:cs="Times New Roman"/>
        <w:b/>
        <w:bCs/>
      </w:rPr>
    </w:tblStylePr>
    <w:tblStylePr w:type="lastCol">
      <w:rPr>
        <w:rFonts w:cs="Times New Roman"/>
        <w:b/>
        <w:bCs/>
      </w:rPr>
      <w:tblPr/>
      <w:tcPr>
        <w:tcBorders>
          <w:top w:val="single" w:sz="8" w:space="0" w:color="9BBB59"/>
          <w:bottom w:val="single" w:sz="8" w:space="0" w:color="9BBB59"/>
        </w:tcBorders>
      </w:tcPr>
    </w:tblStylePr>
    <w:tblStylePr w:type="band1Vert">
      <w:rPr>
        <w:rFonts w:cs="Times New Roman"/>
      </w:rPr>
      <w:tblPr/>
      <w:tcPr>
        <w:shd w:val="clear" w:color="auto" w:fill="E6EED5"/>
      </w:tcPr>
    </w:tblStylePr>
    <w:tblStylePr w:type="band1Horz">
      <w:rPr>
        <w:rFonts w:cs="Times New Roman"/>
      </w:rPr>
      <w:tblPr/>
      <w:tcPr>
        <w:shd w:val="clear" w:color="auto" w:fill="E6EED5"/>
      </w:tcPr>
    </w:tblStylePr>
  </w:style>
  <w:style w:type="table" w:styleId="MediumList1-Accent4">
    <w:name w:val="Medium List 1 Accent 4"/>
    <w:basedOn w:val="TableNormal"/>
    <w:uiPriority w:val="99"/>
    <w:rsid w:val="008417FE"/>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MediumList1-Accent5">
    <w:name w:val="Medium List 1 Accent 5"/>
    <w:basedOn w:val="TableNormal"/>
    <w:uiPriority w:val="99"/>
    <w:rsid w:val="008417FE"/>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List1-Accent6">
    <w:name w:val="Medium List 1 Accent 6"/>
    <w:basedOn w:val="TableNormal"/>
    <w:uiPriority w:val="99"/>
    <w:rsid w:val="008417FE"/>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Mangal"/>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MediumList2">
    <w:name w:val="Medium List 2"/>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Mangal"/>
      </w:rPr>
      <w:tblPr/>
      <w:tcPr>
        <w:tcBorders>
          <w:top w:val="single" w:sz="8" w:space="0" w:color="000000"/>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000000"/>
          <w:insideH w:val="nil"/>
          <w:insideV w:val="nil"/>
        </w:tcBorders>
        <w:shd w:val="clear" w:color="auto" w:fill="FFFFFF"/>
      </w:tcPr>
    </w:tblStylePr>
    <w:tblStylePr w:type="lastCol">
      <w:rPr>
        <w:rFonts w:cs="Mangal"/>
      </w:rPr>
      <w:tblPr/>
      <w:tcPr>
        <w:tcBorders>
          <w:top w:val="nil"/>
          <w:left w:val="single" w:sz="8" w:space="0" w:color="000000"/>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C0C0C0"/>
      </w:tcPr>
    </w:tblStylePr>
    <w:tblStylePr w:type="band1Horz">
      <w:rPr>
        <w:rFonts w:cs="Mangal"/>
      </w:rPr>
      <w:tblPr/>
      <w:tcPr>
        <w:tcBorders>
          <w:top w:val="nil"/>
          <w:bottom w:val="nil"/>
          <w:insideH w:val="nil"/>
          <w:insideV w:val="nil"/>
        </w:tcBorders>
        <w:shd w:val="clear" w:color="auto" w:fill="C0C0C0"/>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1">
    <w:name w:val="Medium List 2 Accent 1"/>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Mangal"/>
      </w:rPr>
      <w:tblPr/>
      <w:tcPr>
        <w:tcBorders>
          <w:top w:val="single" w:sz="8" w:space="0" w:color="4F81BD"/>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4F81BD"/>
          <w:insideH w:val="nil"/>
          <w:insideV w:val="nil"/>
        </w:tcBorders>
        <w:shd w:val="clear" w:color="auto" w:fill="FFFFFF"/>
      </w:tcPr>
    </w:tblStylePr>
    <w:tblStylePr w:type="lastCol">
      <w:rPr>
        <w:rFonts w:cs="Mangal"/>
      </w:rPr>
      <w:tblPr/>
      <w:tcPr>
        <w:tcBorders>
          <w:top w:val="nil"/>
          <w:left w:val="single" w:sz="8" w:space="0" w:color="4F81BD"/>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D3DFEE"/>
      </w:tcPr>
    </w:tblStylePr>
    <w:tblStylePr w:type="band1Horz">
      <w:rPr>
        <w:rFonts w:cs="Mangal"/>
      </w:rPr>
      <w:tblPr/>
      <w:tcPr>
        <w:tcBorders>
          <w:top w:val="nil"/>
          <w:bottom w:val="nil"/>
          <w:insideH w:val="nil"/>
          <w:insideV w:val="nil"/>
        </w:tcBorders>
        <w:shd w:val="clear" w:color="auto" w:fill="D3DFEE"/>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2">
    <w:name w:val="Medium List 2 Accent 2"/>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Mangal"/>
      </w:rPr>
      <w:tblPr/>
      <w:tcPr>
        <w:tcBorders>
          <w:top w:val="single" w:sz="8" w:space="0" w:color="C0504D"/>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C0504D"/>
          <w:insideH w:val="nil"/>
          <w:insideV w:val="nil"/>
        </w:tcBorders>
        <w:shd w:val="clear" w:color="auto" w:fill="FFFFFF"/>
      </w:tcPr>
    </w:tblStylePr>
    <w:tblStylePr w:type="lastCol">
      <w:rPr>
        <w:rFonts w:cs="Mangal"/>
      </w:rPr>
      <w:tblPr/>
      <w:tcPr>
        <w:tcBorders>
          <w:top w:val="nil"/>
          <w:left w:val="single" w:sz="8" w:space="0" w:color="C0504D"/>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EFD3D2"/>
      </w:tcPr>
    </w:tblStylePr>
    <w:tblStylePr w:type="band1Horz">
      <w:rPr>
        <w:rFonts w:cs="Mangal"/>
      </w:rPr>
      <w:tblPr/>
      <w:tcPr>
        <w:tcBorders>
          <w:top w:val="nil"/>
          <w:bottom w:val="nil"/>
          <w:insideH w:val="nil"/>
          <w:insideV w:val="nil"/>
        </w:tcBorders>
        <w:shd w:val="clear" w:color="auto" w:fill="EFD3D2"/>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3">
    <w:name w:val="Medium List 2 Accent 3"/>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Mangal"/>
      </w:rPr>
      <w:tblPr/>
      <w:tcPr>
        <w:tcBorders>
          <w:top w:val="single" w:sz="8" w:space="0" w:color="9BBB59"/>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9BBB59"/>
          <w:insideH w:val="nil"/>
          <w:insideV w:val="nil"/>
        </w:tcBorders>
        <w:shd w:val="clear" w:color="auto" w:fill="FFFFFF"/>
      </w:tcPr>
    </w:tblStylePr>
    <w:tblStylePr w:type="lastCol">
      <w:rPr>
        <w:rFonts w:cs="Mangal"/>
      </w:rPr>
      <w:tblPr/>
      <w:tcPr>
        <w:tcBorders>
          <w:top w:val="nil"/>
          <w:left w:val="single" w:sz="8" w:space="0" w:color="9BBB59"/>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E6EED5"/>
      </w:tcPr>
    </w:tblStylePr>
    <w:tblStylePr w:type="band1Horz">
      <w:rPr>
        <w:rFonts w:cs="Mangal"/>
      </w:rPr>
      <w:tblPr/>
      <w:tcPr>
        <w:tcBorders>
          <w:top w:val="nil"/>
          <w:bottom w:val="nil"/>
          <w:insideH w:val="nil"/>
          <w:insideV w:val="nil"/>
        </w:tcBorders>
        <w:shd w:val="clear" w:color="auto" w:fill="E6EED5"/>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4">
    <w:name w:val="Medium List 2 Accent 4"/>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Mangal"/>
      </w:rPr>
      <w:tblPr/>
      <w:tcPr>
        <w:tcBorders>
          <w:top w:val="single" w:sz="8" w:space="0" w:color="8064A2"/>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8064A2"/>
          <w:insideH w:val="nil"/>
          <w:insideV w:val="nil"/>
        </w:tcBorders>
        <w:shd w:val="clear" w:color="auto" w:fill="FFFFFF"/>
      </w:tcPr>
    </w:tblStylePr>
    <w:tblStylePr w:type="lastCol">
      <w:rPr>
        <w:rFonts w:cs="Mangal"/>
      </w:rPr>
      <w:tblPr/>
      <w:tcPr>
        <w:tcBorders>
          <w:top w:val="nil"/>
          <w:left w:val="single" w:sz="8" w:space="0" w:color="8064A2"/>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DFD8E8"/>
      </w:tcPr>
    </w:tblStylePr>
    <w:tblStylePr w:type="band1Horz">
      <w:rPr>
        <w:rFonts w:cs="Mangal"/>
      </w:rPr>
      <w:tblPr/>
      <w:tcPr>
        <w:tcBorders>
          <w:top w:val="nil"/>
          <w:bottom w:val="nil"/>
          <w:insideH w:val="nil"/>
          <w:insideV w:val="nil"/>
        </w:tcBorders>
        <w:shd w:val="clear" w:color="auto" w:fill="DFD8E8"/>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5">
    <w:name w:val="Medium List 2 Accent 5"/>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Mangal"/>
      </w:rPr>
      <w:tblPr/>
      <w:tcPr>
        <w:tcBorders>
          <w:top w:val="single" w:sz="8" w:space="0" w:color="4BACC6"/>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4BACC6"/>
          <w:insideH w:val="nil"/>
          <w:insideV w:val="nil"/>
        </w:tcBorders>
        <w:shd w:val="clear" w:color="auto" w:fill="FFFFFF"/>
      </w:tcPr>
    </w:tblStylePr>
    <w:tblStylePr w:type="lastCol">
      <w:rPr>
        <w:rFonts w:cs="Mangal"/>
      </w:rPr>
      <w:tblPr/>
      <w:tcPr>
        <w:tcBorders>
          <w:top w:val="nil"/>
          <w:left w:val="single" w:sz="8" w:space="0" w:color="4BACC6"/>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D2EAF1"/>
      </w:tcPr>
    </w:tblStylePr>
    <w:tblStylePr w:type="band1Horz">
      <w:rPr>
        <w:rFonts w:cs="Mangal"/>
      </w:rPr>
      <w:tblPr/>
      <w:tcPr>
        <w:tcBorders>
          <w:top w:val="nil"/>
          <w:bottom w:val="nil"/>
          <w:insideH w:val="nil"/>
          <w:insideV w:val="nil"/>
        </w:tcBorders>
        <w:shd w:val="clear" w:color="auto" w:fill="D2EAF1"/>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List2-Accent6">
    <w:name w:val="Medium List 2 Accent 6"/>
    <w:basedOn w:val="TableNormal"/>
    <w:uiPriority w:val="99"/>
    <w:rsid w:val="008417FE"/>
    <w:rPr>
      <w:rFonts w:ascii="Cambria" w:hAnsi="Cambria" w:cs="Mangal"/>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Mangal"/>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Mangal"/>
      </w:rPr>
      <w:tblPr/>
      <w:tcPr>
        <w:tcBorders>
          <w:top w:val="single" w:sz="8" w:space="0" w:color="F79646"/>
          <w:left w:val="nil"/>
          <w:bottom w:val="nil"/>
          <w:right w:val="nil"/>
          <w:insideH w:val="nil"/>
          <w:insideV w:val="nil"/>
        </w:tcBorders>
        <w:shd w:val="clear" w:color="auto" w:fill="FFFFFF"/>
      </w:tcPr>
    </w:tblStylePr>
    <w:tblStylePr w:type="firstCol">
      <w:rPr>
        <w:rFonts w:cs="Mangal"/>
      </w:rPr>
      <w:tblPr/>
      <w:tcPr>
        <w:tcBorders>
          <w:top w:val="nil"/>
          <w:left w:val="nil"/>
          <w:bottom w:val="nil"/>
          <w:right w:val="single" w:sz="8" w:space="0" w:color="F79646"/>
          <w:insideH w:val="nil"/>
          <w:insideV w:val="nil"/>
        </w:tcBorders>
        <w:shd w:val="clear" w:color="auto" w:fill="FFFFFF"/>
      </w:tcPr>
    </w:tblStylePr>
    <w:tblStylePr w:type="lastCol">
      <w:rPr>
        <w:rFonts w:cs="Mangal"/>
      </w:rPr>
      <w:tblPr/>
      <w:tcPr>
        <w:tcBorders>
          <w:top w:val="nil"/>
          <w:left w:val="single" w:sz="8" w:space="0" w:color="F79646"/>
          <w:bottom w:val="nil"/>
          <w:right w:val="nil"/>
          <w:insideH w:val="nil"/>
          <w:insideV w:val="nil"/>
        </w:tcBorders>
        <w:shd w:val="clear" w:color="auto" w:fill="FFFFFF"/>
      </w:tcPr>
    </w:tblStylePr>
    <w:tblStylePr w:type="band1Vert">
      <w:rPr>
        <w:rFonts w:cs="Mangal"/>
      </w:rPr>
      <w:tblPr/>
      <w:tcPr>
        <w:tcBorders>
          <w:left w:val="nil"/>
          <w:right w:val="nil"/>
          <w:insideH w:val="nil"/>
          <w:insideV w:val="nil"/>
        </w:tcBorders>
        <w:shd w:val="clear" w:color="auto" w:fill="FDE4D0"/>
      </w:tcPr>
    </w:tblStylePr>
    <w:tblStylePr w:type="band1Horz">
      <w:rPr>
        <w:rFonts w:cs="Mangal"/>
      </w:rPr>
      <w:tblPr/>
      <w:tcPr>
        <w:tcBorders>
          <w:top w:val="nil"/>
          <w:bottom w:val="nil"/>
          <w:insideH w:val="nil"/>
          <w:insideV w:val="nil"/>
        </w:tcBorders>
        <w:shd w:val="clear" w:color="auto" w:fill="FDE4D0"/>
      </w:tcPr>
    </w:tblStylePr>
    <w:tblStylePr w:type="nwCell">
      <w:rPr>
        <w:rFonts w:cs="Mangal"/>
      </w:rPr>
      <w:tblPr/>
      <w:tcPr>
        <w:shd w:val="clear" w:color="auto" w:fill="FFFFFF"/>
      </w:tcPr>
    </w:tblStylePr>
    <w:tblStylePr w:type="swCell">
      <w:rPr>
        <w:rFonts w:cs="Mangal"/>
      </w:rPr>
      <w:tblPr/>
      <w:tcPr>
        <w:tcBorders>
          <w:top w:val="nil"/>
        </w:tcBorders>
      </w:tcPr>
    </w:tblStylePr>
  </w:style>
  <w:style w:type="table" w:styleId="MediumShading1">
    <w:name w:val="Medium Shading 1"/>
    <w:basedOn w:val="TableNormal"/>
    <w:uiPriority w:val="99"/>
    <w:rsid w:val="008417FE"/>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99"/>
    <w:rsid w:val="008417FE"/>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99"/>
    <w:rsid w:val="008417FE"/>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99"/>
    <w:rsid w:val="008417FE"/>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99"/>
    <w:rsid w:val="008417FE"/>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99"/>
    <w:rsid w:val="008417FE"/>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99"/>
    <w:rsid w:val="008417FE"/>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Times New Roman"/>
        <w:b/>
        <w:bCs/>
        <w:color w:val="FFFFFF"/>
      </w:rPr>
      <w:tblPr/>
      <w:tcPr>
        <w:tcBorders>
          <w:left w:val="nil"/>
          <w:right w:val="nil"/>
          <w:insideH w:val="nil"/>
          <w:insideV w:val="nil"/>
        </w:tcBorders>
        <w:shd w:val="clear" w:color="auto" w:fill="8064A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8417FE"/>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Times New Roman"/>
        <w:b/>
        <w:bCs/>
        <w:color w:val="FFFFFF"/>
      </w:rPr>
      <w:tblPr/>
      <w:tcPr>
        <w:tcBorders>
          <w:left w:val="nil"/>
          <w:right w:val="nil"/>
          <w:insideH w:val="nil"/>
          <w:insideV w:val="nil"/>
        </w:tcBorders>
        <w:shd w:val="clear" w:color="auto" w:fill="F7964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99"/>
    <w:qFormat/>
    <w:rsid w:val="008417FE"/>
    <w:rPr>
      <w:sz w:val="24"/>
      <w:szCs w:val="20"/>
    </w:rPr>
  </w:style>
  <w:style w:type="paragraph" w:styleId="NormalWeb">
    <w:name w:val="Normal (Web)"/>
    <w:basedOn w:val="Normal"/>
    <w:uiPriority w:val="99"/>
    <w:semiHidden/>
    <w:rsid w:val="008417FE"/>
    <w:rPr>
      <w:szCs w:val="24"/>
    </w:rPr>
  </w:style>
  <w:style w:type="character" w:styleId="PlaceholderText">
    <w:name w:val="Placeholder Text"/>
    <w:basedOn w:val="DefaultParagraphFont"/>
    <w:uiPriority w:val="99"/>
    <w:semiHidden/>
    <w:rsid w:val="008417FE"/>
    <w:rPr>
      <w:rFonts w:cs="Times New Roman"/>
      <w:color w:val="808080"/>
    </w:rPr>
  </w:style>
  <w:style w:type="character" w:styleId="Strong">
    <w:name w:val="Strong"/>
    <w:basedOn w:val="DefaultParagraphFont"/>
    <w:uiPriority w:val="99"/>
    <w:qFormat/>
    <w:rsid w:val="008417FE"/>
    <w:rPr>
      <w:rFonts w:cs="Times New Roman"/>
      <w:b/>
      <w:bCs/>
    </w:rPr>
  </w:style>
  <w:style w:type="character" w:styleId="SubtleEmphasis">
    <w:name w:val="Subtle Emphasis"/>
    <w:basedOn w:val="DefaultParagraphFont"/>
    <w:uiPriority w:val="99"/>
    <w:qFormat/>
    <w:rsid w:val="008417FE"/>
    <w:rPr>
      <w:rFonts w:cs="Times New Roman"/>
      <w:i/>
      <w:iCs/>
      <w:color w:val="808080"/>
    </w:rPr>
  </w:style>
  <w:style w:type="character" w:styleId="SubtleReference">
    <w:name w:val="Subtle Reference"/>
    <w:basedOn w:val="DefaultParagraphFont"/>
    <w:uiPriority w:val="99"/>
    <w:qFormat/>
    <w:rsid w:val="008417FE"/>
    <w:rPr>
      <w:rFonts w:cs="Times New Roman"/>
      <w:smallCaps/>
      <w:color w:val="C0504D"/>
      <w:u w:val="single"/>
    </w:rPr>
  </w:style>
  <w:style w:type="table" w:styleId="Table3Deffects1">
    <w:name w:val="Table 3D effects 1"/>
    <w:basedOn w:val="TableNormal"/>
    <w:uiPriority w:val="99"/>
    <w:semiHidden/>
    <w:rsid w:val="008417FE"/>
    <w:rPr>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417FE"/>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417FE"/>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417FE"/>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417FE"/>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417FE"/>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417FE"/>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417FE"/>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417FE"/>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417FE"/>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417FE"/>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417FE"/>
    <w:rPr>
      <w:b/>
      <w:bCs/>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417FE"/>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417FE"/>
    <w:rPr>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8417FE"/>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8417FE"/>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417FE"/>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8417F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1">
    <w:name w:val="Table Grid 1"/>
    <w:basedOn w:val="TableNormal"/>
    <w:uiPriority w:val="99"/>
    <w:semiHidden/>
    <w:rsid w:val="008417FE"/>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417FE"/>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417FE"/>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417FE"/>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417FE"/>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8417FE"/>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8417FE"/>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8417FE"/>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417FE"/>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417FE"/>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417FE"/>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417FE"/>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417FE"/>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417FE"/>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417FE"/>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417FE"/>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8417FE"/>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417FE"/>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417FE"/>
    <w:rPr>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417FE"/>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417FE"/>
    <w:rPr>
      <w:sz w:val="20"/>
      <w:szCs w:val="20"/>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417FE"/>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417F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8417FE"/>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417FE"/>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417FE"/>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8417FE"/>
    <w:pPr>
      <w:keepLines/>
      <w:spacing w:before="480"/>
      <w:outlineLvl w:val="9"/>
    </w:pPr>
    <w:rPr>
      <w:rFonts w:ascii="Cambria" w:hAnsi="Cambria" w:cs="Mangal"/>
      <w:color w:val="365F91"/>
      <w:sz w:val="28"/>
      <w:szCs w:val="28"/>
    </w:rPr>
  </w:style>
  <w:style w:type="character" w:customStyle="1" w:styleId="Auto4Char">
    <w:name w:val="Auto 4 Char"/>
    <w:aliases w:val="a4 Char"/>
    <w:basedOn w:val="DefaultParagraphFont"/>
    <w:link w:val="Auto4"/>
    <w:uiPriority w:val="99"/>
    <w:locked/>
    <w:rsid w:val="008417FE"/>
    <w:rPr>
      <w:rFonts w:cs="Times New Roman"/>
      <w:sz w:val="24"/>
    </w:rPr>
  </w:style>
  <w:style w:type="character" w:customStyle="1" w:styleId="Auto5Char">
    <w:name w:val="Auto 5 Char"/>
    <w:aliases w:val="a5 Char"/>
    <w:basedOn w:val="DefaultParagraphFont"/>
    <w:link w:val="Auto5"/>
    <w:uiPriority w:val="99"/>
    <w:locked/>
    <w:rsid w:val="008417FE"/>
    <w:rPr>
      <w:rFonts w:cs="Times New Roman"/>
      <w:sz w:val="24"/>
    </w:rPr>
  </w:style>
  <w:style w:type="character" w:customStyle="1" w:styleId="Auto6Char">
    <w:name w:val="Auto 6 Char"/>
    <w:aliases w:val="a6 Char"/>
    <w:basedOn w:val="DefaultParagraphFont"/>
    <w:link w:val="Auto6"/>
    <w:uiPriority w:val="99"/>
    <w:locked/>
    <w:rsid w:val="008417FE"/>
    <w:rPr>
      <w:rFonts w:cs="Times New Roman"/>
      <w:sz w:val="24"/>
    </w:rPr>
  </w:style>
  <w:style w:type="character" w:customStyle="1" w:styleId="Auto7Char">
    <w:name w:val="Auto 7 Char"/>
    <w:aliases w:val="a7 Char"/>
    <w:basedOn w:val="DefaultParagraphFont"/>
    <w:link w:val="Auto7"/>
    <w:uiPriority w:val="99"/>
    <w:locked/>
    <w:rsid w:val="008417FE"/>
    <w:rPr>
      <w:rFonts w:cs="Times New Roman"/>
      <w:sz w:val="24"/>
    </w:rPr>
  </w:style>
  <w:style w:type="character" w:customStyle="1" w:styleId="Auto8Char">
    <w:name w:val="Auto 8 Char"/>
    <w:aliases w:val="a8 Char"/>
    <w:basedOn w:val="DefaultParagraphFont"/>
    <w:link w:val="Auto8"/>
    <w:uiPriority w:val="99"/>
    <w:locked/>
    <w:rsid w:val="008417FE"/>
    <w:rPr>
      <w:rFonts w:cs="Times New Roman"/>
      <w:sz w:val="24"/>
    </w:rPr>
  </w:style>
  <w:style w:type="character" w:customStyle="1" w:styleId="Auto9Char">
    <w:name w:val="Auto 9 Char"/>
    <w:aliases w:val="a9 Char"/>
    <w:basedOn w:val="DefaultParagraphFont"/>
    <w:link w:val="Auto9"/>
    <w:uiPriority w:val="99"/>
    <w:locked/>
    <w:rsid w:val="008417FE"/>
    <w:rPr>
      <w:rFonts w:cs="Times New Roman"/>
      <w:sz w:val="24"/>
    </w:rPr>
  </w:style>
  <w:style w:type="character" w:customStyle="1" w:styleId="BodyChar">
    <w:name w:val="Body Char"/>
    <w:basedOn w:val="DefaultParagraphFont"/>
    <w:link w:val="Body"/>
    <w:uiPriority w:val="99"/>
    <w:locked/>
    <w:rsid w:val="00A31922"/>
    <w:rPr>
      <w:rFonts w:cs="Times New Roman"/>
      <w:sz w:val="24"/>
    </w:rPr>
  </w:style>
  <w:style w:type="character" w:customStyle="1" w:styleId="BodyDoubleChar">
    <w:name w:val="Body Double Char"/>
    <w:basedOn w:val="BodyChar"/>
    <w:link w:val="BodyDouble"/>
    <w:uiPriority w:val="99"/>
    <w:locked/>
    <w:rsid w:val="008417FE"/>
  </w:style>
  <w:style w:type="character" w:customStyle="1" w:styleId="Body1Char">
    <w:name w:val="Body 1&quot; Char"/>
    <w:aliases w:val="b1 Char"/>
    <w:basedOn w:val="DefaultParagraphFont"/>
    <w:link w:val="Body1"/>
    <w:uiPriority w:val="99"/>
    <w:locked/>
    <w:rsid w:val="008417FE"/>
    <w:rPr>
      <w:rFonts w:cs="Times New Roman"/>
      <w:sz w:val="24"/>
    </w:rPr>
  </w:style>
  <w:style w:type="character" w:customStyle="1" w:styleId="Body1DoubleChar">
    <w:name w:val="Body 1&quot; Double Char"/>
    <w:aliases w:val="b1d Char"/>
    <w:basedOn w:val="Body1Char"/>
    <w:link w:val="Body1Double"/>
    <w:uiPriority w:val="99"/>
    <w:locked/>
    <w:rsid w:val="008417FE"/>
  </w:style>
  <w:style w:type="character" w:customStyle="1" w:styleId="CenterChar">
    <w:name w:val="Center Char"/>
    <w:aliases w:val="c Char"/>
    <w:basedOn w:val="DefaultParagraphFont"/>
    <w:link w:val="Center"/>
    <w:uiPriority w:val="99"/>
    <w:locked/>
    <w:rsid w:val="008417FE"/>
    <w:rPr>
      <w:rFonts w:cs="Times New Roman"/>
      <w:sz w:val="24"/>
    </w:rPr>
  </w:style>
  <w:style w:type="character" w:customStyle="1" w:styleId="CenterBoldChar">
    <w:name w:val="Center Bold Char"/>
    <w:basedOn w:val="CenterChar"/>
    <w:link w:val="CenterBold"/>
    <w:uiPriority w:val="99"/>
    <w:locked/>
    <w:rsid w:val="008417FE"/>
    <w:rPr>
      <w:b/>
    </w:rPr>
  </w:style>
  <w:style w:type="character" w:customStyle="1" w:styleId="CenterUnderscoreChar">
    <w:name w:val="Center Underscore Char"/>
    <w:basedOn w:val="CenterChar"/>
    <w:link w:val="CenterUnderscore"/>
    <w:uiPriority w:val="99"/>
    <w:locked/>
    <w:rsid w:val="008417FE"/>
    <w:rPr>
      <w:u w:val="single"/>
    </w:rPr>
  </w:style>
  <w:style w:type="character" w:customStyle="1" w:styleId="CenterBoldUnderscoreChar">
    <w:name w:val="Center Bold Underscore Char"/>
    <w:aliases w:val="cbu Char"/>
    <w:basedOn w:val="CenterChar"/>
    <w:link w:val="CenterBoldUnderscore"/>
    <w:uiPriority w:val="99"/>
    <w:locked/>
    <w:rsid w:val="008417FE"/>
    <w:rPr>
      <w:b/>
      <w:u w:val="single"/>
    </w:rPr>
  </w:style>
  <w:style w:type="character" w:customStyle="1" w:styleId="CenterDoubleChar">
    <w:name w:val="Center Double Char"/>
    <w:aliases w:val="cd Char"/>
    <w:basedOn w:val="CenterChar"/>
    <w:link w:val="CenterDouble"/>
    <w:uiPriority w:val="99"/>
    <w:locked/>
    <w:rsid w:val="008417FE"/>
  </w:style>
  <w:style w:type="character" w:customStyle="1" w:styleId="CenterDoubleBoldChar">
    <w:name w:val="Center Double Bold Char"/>
    <w:aliases w:val="cbd Char"/>
    <w:basedOn w:val="CenterDoubleChar"/>
    <w:link w:val="CenterDoubleBold"/>
    <w:uiPriority w:val="99"/>
    <w:locked/>
    <w:rsid w:val="008417FE"/>
    <w:rPr>
      <w:b/>
    </w:rPr>
  </w:style>
  <w:style w:type="character" w:customStyle="1" w:styleId="CenterDoubleUndChar">
    <w:name w:val="Center Double Und Char"/>
    <w:aliases w:val="cdu Char"/>
    <w:basedOn w:val="CenterDoubleChar"/>
    <w:link w:val="CenterDoubleUnd"/>
    <w:uiPriority w:val="99"/>
    <w:locked/>
    <w:rsid w:val="008417FE"/>
    <w:rPr>
      <w:u w:val="single"/>
    </w:rPr>
  </w:style>
  <w:style w:type="character" w:customStyle="1" w:styleId="CenterDoubleBoldUndChar">
    <w:name w:val="Center Double Bold Und Char"/>
    <w:aliases w:val="cdbu Char"/>
    <w:basedOn w:val="CenterDoubleChar"/>
    <w:link w:val="CenterDoubleBoldUnd"/>
    <w:uiPriority w:val="99"/>
    <w:locked/>
    <w:rsid w:val="008417FE"/>
    <w:rPr>
      <w:b/>
      <w:u w:val="single"/>
    </w:rPr>
  </w:style>
  <w:style w:type="character" w:customStyle="1" w:styleId="FlushLeftDoubleChar">
    <w:name w:val="Flush Left Double Char"/>
    <w:basedOn w:val="FlushLeftChar"/>
    <w:link w:val="FlushLeftDouble"/>
    <w:uiPriority w:val="99"/>
    <w:locked/>
    <w:rsid w:val="008417FE"/>
  </w:style>
  <w:style w:type="character" w:customStyle="1" w:styleId="HangingIndentChar">
    <w:name w:val="Hanging Indent Char"/>
    <w:basedOn w:val="DefaultParagraphFont"/>
    <w:link w:val="HangingIndent"/>
    <w:uiPriority w:val="99"/>
    <w:locked/>
    <w:rsid w:val="008417FE"/>
    <w:rPr>
      <w:rFonts w:cs="Times New Roman"/>
      <w:sz w:val="24"/>
    </w:rPr>
  </w:style>
  <w:style w:type="character" w:customStyle="1" w:styleId="IndentChar">
    <w:name w:val="Indent Char"/>
    <w:basedOn w:val="DefaultParagraphFont"/>
    <w:link w:val="Indent"/>
    <w:uiPriority w:val="99"/>
    <w:locked/>
    <w:rsid w:val="008417FE"/>
    <w:rPr>
      <w:rFonts w:cs="Times New Roman"/>
      <w:sz w:val="24"/>
    </w:rPr>
  </w:style>
  <w:style w:type="character" w:customStyle="1" w:styleId="QuoteDoubleChar">
    <w:name w:val="Quote Double Char"/>
    <w:basedOn w:val="DefaultParagraphFont"/>
    <w:link w:val="QuoteDouble"/>
    <w:uiPriority w:val="99"/>
    <w:locked/>
    <w:rsid w:val="00E34F61"/>
    <w:rPr>
      <w:rFonts w:cs="Times New Roman"/>
      <w:sz w:val="24"/>
    </w:rPr>
  </w:style>
  <w:style w:type="paragraph" w:customStyle="1" w:styleId="BodyNumbered">
    <w:name w:val="Body Numbered"/>
    <w:aliases w:val="bn"/>
    <w:basedOn w:val="Body"/>
    <w:uiPriority w:val="99"/>
    <w:rsid w:val="00673BA6"/>
    <w:pPr>
      <w:numPr>
        <w:numId w:val="14"/>
      </w:numPr>
      <w:tabs>
        <w:tab w:val="clear" w:pos="1440"/>
        <w:tab w:val="num" w:pos="720"/>
      </w:tabs>
      <w:ind w:left="0" w:firstLine="720"/>
    </w:pPr>
  </w:style>
</w:styles>
</file>

<file path=word/webSettings.xml><?xml version="1.0" encoding="utf-8"?>
<w:webSettings xmlns:r="http://schemas.openxmlformats.org/officeDocument/2006/relationships" xmlns:w="http://schemas.openxmlformats.org/wordprocessingml/2006/main">
  <w:divs>
    <w:div w:id="15689560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allenmatkins.com/Publications/Legal-Alerts/2009/03/04_03_2009_Think-Twice-Before-Serving-A-ThreeDay-Notice-to-Pay-Rent-or-Quit.aspx"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AM%20Office\AM%20Templates\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Template>
  <TotalTime>1</TotalTime>
  <Pages>24</Pages>
  <Words>8277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15:  </dc:title>
  <dc:subject/>
  <dc:creator/>
  <cp:keywords/>
  <dc:description/>
  <cp:lastModifiedBy/>
  <cp:revision>2</cp:revision>
  <dcterms:created xsi:type="dcterms:W3CDTF">2013-01-17T16:01:00Z</dcterms:created>
  <dcterms:modified xsi:type="dcterms:W3CDTF">2013-01-17T16:01:00Z</dcterms:modified>
</cp:coreProperties>
</file>