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2" w:type="dxa"/>
        <w:tblInd w:w="143" w:type="dxa"/>
        <w:tblLayout w:type="fixed"/>
        <w:tblCellMar>
          <w:left w:w="144" w:type="dxa"/>
          <w:right w:w="144" w:type="dxa"/>
        </w:tblCellMar>
        <w:tblLook w:val="0000"/>
      </w:tblPr>
      <w:tblGrid>
        <w:gridCol w:w="721"/>
        <w:gridCol w:w="8821"/>
      </w:tblGrid>
      <w:tr w:rsidR="002620D6" w:rsidRPr="00AA1BEB" w:rsidTr="00BF16A2">
        <w:trPr>
          <w:trHeight w:val="1802"/>
        </w:trPr>
        <w:tc>
          <w:tcPr>
            <w:tcW w:w="9542" w:type="dxa"/>
            <w:gridSpan w:val="2"/>
          </w:tcPr>
          <w:p w:rsidR="002620D6" w:rsidRPr="00AA1BEB" w:rsidRDefault="002620D6" w:rsidP="00BF16A2">
            <w:pPr>
              <w:rPr>
                <w:rFonts w:asciiTheme="minorHAnsi" w:eastAsia="Times New Roman" w:hAnsiTheme="minorHAnsi" w:cstheme="minorHAnsi"/>
                <w:sz w:val="44"/>
                <w:szCs w:val="44"/>
              </w:rPr>
            </w:pPr>
            <w:r w:rsidRPr="00AA1BEB">
              <w:rPr>
                <w:rFonts w:asciiTheme="minorHAnsi" w:eastAsia="Times New Roman" w:hAnsiTheme="minorHAnsi" w:cstheme="minorHAnsi"/>
                <w:noProof/>
              </w:rPr>
              <w:drawing>
                <wp:anchor distT="0" distB="0" distL="114300" distR="114300" simplePos="0" relativeHeight="251659264" behindDoc="0" locked="0" layoutInCell="1" allowOverlap="1">
                  <wp:simplePos x="0" y="0"/>
                  <wp:positionH relativeFrom="column">
                    <wp:posOffset>-90805</wp:posOffset>
                  </wp:positionH>
                  <wp:positionV relativeFrom="paragraph">
                    <wp:posOffset>103505</wp:posOffset>
                  </wp:positionV>
                  <wp:extent cx="2286000" cy="304800"/>
                  <wp:effectExtent l="19050" t="0" r="0" b="0"/>
                  <wp:wrapNone/>
                  <wp:docPr id="1" name="Picture 2" descr="HKLogo_WORD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Logo_WORD_2009"/>
                          <pic:cNvPicPr>
                            <a:picLocks noChangeAspect="1" noChangeArrowheads="1"/>
                          </pic:cNvPicPr>
                        </pic:nvPicPr>
                        <pic:blipFill>
                          <a:blip r:embed="rId4" cstate="print"/>
                          <a:srcRect/>
                          <a:stretch>
                            <a:fillRect/>
                          </a:stretch>
                        </pic:blipFill>
                        <pic:spPr bwMode="auto">
                          <a:xfrm>
                            <a:off x="0" y="0"/>
                            <a:ext cx="2286000" cy="304800"/>
                          </a:xfrm>
                          <a:prstGeom prst="rect">
                            <a:avLst/>
                          </a:prstGeom>
                          <a:noFill/>
                          <a:ln w="9525">
                            <a:noFill/>
                            <a:miter lim="800000"/>
                            <a:headEnd/>
                            <a:tailEnd/>
                          </a:ln>
                        </pic:spPr>
                      </pic:pic>
                    </a:graphicData>
                  </a:graphic>
                </wp:anchor>
              </w:drawing>
            </w:r>
          </w:p>
          <w:p w:rsidR="002620D6" w:rsidRPr="00AA1BEB" w:rsidRDefault="002620D6" w:rsidP="00BF16A2">
            <w:pPr>
              <w:rPr>
                <w:rFonts w:asciiTheme="minorHAnsi" w:eastAsia="Times New Roman" w:hAnsiTheme="minorHAnsi" w:cstheme="minorHAnsi"/>
                <w:b/>
                <w:spacing w:val="-3"/>
                <w:sz w:val="10"/>
                <w:szCs w:val="10"/>
              </w:rPr>
            </w:pPr>
          </w:p>
          <w:p w:rsidR="002620D6" w:rsidRPr="00AA1BEB" w:rsidRDefault="002620D6" w:rsidP="00BF16A2">
            <w:pPr>
              <w:rPr>
                <w:rFonts w:asciiTheme="minorHAnsi" w:eastAsia="Times New Roman" w:hAnsiTheme="minorHAnsi" w:cstheme="minorHAnsi"/>
                <w:b/>
                <w:spacing w:val="-3"/>
                <w:sz w:val="10"/>
                <w:szCs w:val="10"/>
              </w:rPr>
            </w:pPr>
          </w:p>
          <w:p w:rsidR="002620D6" w:rsidRPr="00AA1BEB" w:rsidRDefault="002620D6" w:rsidP="00BF16A2">
            <w:pPr>
              <w:rPr>
                <w:rFonts w:asciiTheme="minorHAnsi" w:eastAsia="Times New Roman" w:hAnsiTheme="minorHAnsi" w:cstheme="minorHAnsi"/>
                <w:b/>
                <w:spacing w:val="-3"/>
                <w:sz w:val="10"/>
                <w:szCs w:val="10"/>
              </w:rPr>
            </w:pPr>
          </w:p>
          <w:p w:rsidR="002620D6" w:rsidRPr="00AA1BEB" w:rsidRDefault="002620D6" w:rsidP="00BF16A2">
            <w:pPr>
              <w:rPr>
                <w:rFonts w:asciiTheme="minorHAnsi" w:eastAsia="Times New Roman" w:hAnsiTheme="minorHAnsi" w:cstheme="minorHAnsi"/>
                <w:spacing w:val="-3"/>
                <w:sz w:val="16"/>
                <w:szCs w:val="16"/>
              </w:rPr>
            </w:pPr>
          </w:p>
          <w:p w:rsidR="002620D6" w:rsidRPr="00AA1BEB" w:rsidRDefault="002620D6" w:rsidP="00BF16A2">
            <w:pPr>
              <w:ind w:left="-143"/>
              <w:rPr>
                <w:rFonts w:asciiTheme="minorHAnsi" w:eastAsia="Times New Roman" w:hAnsiTheme="minorHAnsi" w:cstheme="minorHAnsi"/>
                <w:spacing w:val="-3"/>
                <w:sz w:val="16"/>
                <w:szCs w:val="16"/>
              </w:rPr>
            </w:pPr>
          </w:p>
          <w:p w:rsidR="002620D6" w:rsidRPr="00AA1BEB" w:rsidRDefault="002620D6" w:rsidP="00BF16A2">
            <w:pPr>
              <w:ind w:left="-143"/>
              <w:rPr>
                <w:rFonts w:asciiTheme="minorHAnsi" w:eastAsia="Times New Roman" w:hAnsiTheme="minorHAnsi" w:cstheme="minorHAnsi"/>
                <w:b/>
                <w:caps/>
                <w:spacing w:val="-3"/>
              </w:rPr>
            </w:pPr>
            <w:r w:rsidRPr="00AA1BEB">
              <w:rPr>
                <w:rFonts w:asciiTheme="minorHAnsi" w:eastAsia="Times New Roman" w:hAnsiTheme="minorHAnsi" w:cstheme="minorHAnsi"/>
                <w:b/>
                <w:caps/>
                <w:spacing w:val="-3"/>
              </w:rPr>
              <w:t>Memorandum</w:t>
            </w:r>
          </w:p>
          <w:p w:rsidR="002620D6" w:rsidRPr="00AA1BEB" w:rsidRDefault="002620D6" w:rsidP="00BF16A2">
            <w:pPr>
              <w:widowControl w:val="0"/>
              <w:tabs>
                <w:tab w:val="left" w:pos="1440"/>
                <w:tab w:val="left" w:pos="6840"/>
                <w:tab w:val="left" w:pos="7200"/>
              </w:tabs>
              <w:ind w:left="-144"/>
              <w:rPr>
                <w:rFonts w:asciiTheme="minorHAnsi" w:eastAsia="Times New Roman" w:hAnsiTheme="minorHAnsi" w:cstheme="minorHAnsi"/>
                <w:spacing w:val="-3"/>
                <w:sz w:val="18"/>
                <w:szCs w:val="18"/>
              </w:rPr>
            </w:pPr>
          </w:p>
        </w:tc>
      </w:tr>
      <w:tr w:rsidR="002620D6" w:rsidRPr="00AA1BEB" w:rsidTr="00BF16A2">
        <w:tblPrEx>
          <w:tblCellMar>
            <w:left w:w="0" w:type="dxa"/>
            <w:right w:w="0" w:type="dxa"/>
          </w:tblCellMar>
        </w:tblPrEx>
        <w:tc>
          <w:tcPr>
            <w:tcW w:w="721" w:type="dxa"/>
          </w:tcPr>
          <w:p w:rsidR="002620D6" w:rsidRPr="00AA1BEB" w:rsidRDefault="002620D6" w:rsidP="00BF16A2">
            <w:pPr>
              <w:tabs>
                <w:tab w:val="left" w:pos="0"/>
              </w:tabs>
              <w:rPr>
                <w:rFonts w:asciiTheme="minorHAnsi" w:eastAsia="Times New Roman" w:hAnsiTheme="minorHAnsi" w:cstheme="minorHAnsi"/>
                <w:spacing w:val="-3"/>
              </w:rPr>
            </w:pPr>
            <w:r w:rsidRPr="00AA1BEB">
              <w:rPr>
                <w:rFonts w:asciiTheme="minorHAnsi" w:eastAsia="Times New Roman" w:hAnsiTheme="minorHAnsi" w:cstheme="minorHAnsi"/>
              </w:rPr>
              <w:t>Date:</w:t>
            </w:r>
          </w:p>
        </w:tc>
        <w:tc>
          <w:tcPr>
            <w:tcW w:w="8821" w:type="dxa"/>
          </w:tcPr>
          <w:p w:rsidR="002620D6" w:rsidRPr="00AA1BEB" w:rsidRDefault="002620D6" w:rsidP="00BF16A2">
            <w:pPr>
              <w:tabs>
                <w:tab w:val="left" w:pos="0"/>
              </w:tabs>
              <w:rPr>
                <w:rFonts w:asciiTheme="minorHAnsi" w:eastAsia="Times New Roman" w:hAnsiTheme="minorHAnsi" w:cstheme="minorHAnsi"/>
                <w:spacing w:val="-3"/>
              </w:rPr>
            </w:pPr>
            <w:bookmarkStart w:id="0" w:name="date1"/>
            <w:bookmarkEnd w:id="0"/>
            <w:r>
              <w:rPr>
                <w:rFonts w:asciiTheme="minorHAnsi" w:eastAsia="Times New Roman" w:hAnsiTheme="minorHAnsi" w:cstheme="minorHAnsi"/>
                <w:spacing w:val="-3"/>
              </w:rPr>
              <w:t>January 18, 2013</w:t>
            </w:r>
          </w:p>
          <w:p w:rsidR="002620D6" w:rsidRPr="00AA1BEB" w:rsidRDefault="002620D6" w:rsidP="00BF16A2">
            <w:pPr>
              <w:rPr>
                <w:rFonts w:asciiTheme="minorHAnsi" w:eastAsia="Times New Roman" w:hAnsiTheme="minorHAnsi" w:cstheme="minorHAnsi"/>
                <w:spacing w:val="-3"/>
              </w:rPr>
            </w:pPr>
          </w:p>
        </w:tc>
      </w:tr>
      <w:tr w:rsidR="002620D6" w:rsidRPr="00AA1BEB" w:rsidTr="00BF16A2">
        <w:tblPrEx>
          <w:tblCellMar>
            <w:left w:w="0" w:type="dxa"/>
            <w:right w:w="0" w:type="dxa"/>
          </w:tblCellMar>
        </w:tblPrEx>
        <w:tc>
          <w:tcPr>
            <w:tcW w:w="721" w:type="dxa"/>
          </w:tcPr>
          <w:p w:rsidR="002620D6" w:rsidRPr="00AA1BEB" w:rsidRDefault="002620D6" w:rsidP="00BF16A2">
            <w:pPr>
              <w:tabs>
                <w:tab w:val="left" w:pos="0"/>
              </w:tabs>
              <w:rPr>
                <w:rFonts w:asciiTheme="minorHAnsi" w:eastAsia="Times New Roman" w:hAnsiTheme="minorHAnsi" w:cstheme="minorHAnsi"/>
              </w:rPr>
            </w:pPr>
            <w:r w:rsidRPr="00AA1BEB">
              <w:rPr>
                <w:rFonts w:asciiTheme="minorHAnsi" w:eastAsia="Times New Roman" w:hAnsiTheme="minorHAnsi" w:cstheme="minorHAnsi"/>
              </w:rPr>
              <w:t>To:</w:t>
            </w:r>
          </w:p>
        </w:tc>
        <w:tc>
          <w:tcPr>
            <w:tcW w:w="8821" w:type="dxa"/>
          </w:tcPr>
          <w:p w:rsidR="002620D6" w:rsidRPr="00F549B4" w:rsidRDefault="002620D6" w:rsidP="00BF16A2">
            <w:pPr>
              <w:tabs>
                <w:tab w:val="left" w:pos="0"/>
              </w:tabs>
              <w:rPr>
                <w:rFonts w:asciiTheme="minorHAnsi" w:eastAsia="Times New Roman" w:hAnsiTheme="minorHAnsi" w:cstheme="minorHAnsi"/>
                <w:spacing w:val="-2"/>
              </w:rPr>
            </w:pPr>
            <w:bookmarkStart w:id="1" w:name="to"/>
            <w:bookmarkEnd w:id="1"/>
            <w:r>
              <w:rPr>
                <w:rFonts w:asciiTheme="minorHAnsi" w:eastAsia="Times New Roman" w:hAnsiTheme="minorHAnsi" w:cstheme="minorHAnsi"/>
                <w:spacing w:val="-2"/>
              </w:rPr>
              <w:t xml:space="preserve">Rob </w:t>
            </w:r>
            <w:proofErr w:type="spellStart"/>
            <w:r>
              <w:rPr>
                <w:rFonts w:asciiTheme="minorHAnsi" w:eastAsia="Times New Roman" w:hAnsiTheme="minorHAnsi" w:cstheme="minorHAnsi"/>
                <w:spacing w:val="-2"/>
              </w:rPr>
              <w:t>Gidel</w:t>
            </w:r>
            <w:proofErr w:type="spellEnd"/>
          </w:p>
          <w:p w:rsidR="002620D6" w:rsidRPr="00AA1BEB" w:rsidRDefault="002620D6" w:rsidP="00BF16A2">
            <w:pPr>
              <w:tabs>
                <w:tab w:val="left" w:pos="0"/>
              </w:tabs>
              <w:rPr>
                <w:rFonts w:asciiTheme="minorHAnsi" w:eastAsia="Times New Roman" w:hAnsiTheme="minorHAnsi" w:cstheme="minorHAnsi"/>
                <w:spacing w:val="-2"/>
              </w:rPr>
            </w:pPr>
          </w:p>
        </w:tc>
      </w:tr>
      <w:tr w:rsidR="002620D6" w:rsidRPr="00AA1BEB" w:rsidTr="00BF16A2">
        <w:tblPrEx>
          <w:tblCellMar>
            <w:left w:w="0" w:type="dxa"/>
            <w:right w:w="0" w:type="dxa"/>
          </w:tblCellMar>
        </w:tblPrEx>
        <w:trPr>
          <w:trHeight w:val="420"/>
        </w:trPr>
        <w:tc>
          <w:tcPr>
            <w:tcW w:w="721" w:type="dxa"/>
          </w:tcPr>
          <w:p w:rsidR="002620D6" w:rsidRPr="00AA1BEB" w:rsidRDefault="002620D6" w:rsidP="00BF16A2">
            <w:pPr>
              <w:tabs>
                <w:tab w:val="left" w:pos="0"/>
              </w:tabs>
              <w:rPr>
                <w:rFonts w:asciiTheme="minorHAnsi" w:eastAsia="Times New Roman" w:hAnsiTheme="minorHAnsi" w:cstheme="minorHAnsi"/>
              </w:rPr>
            </w:pPr>
            <w:r w:rsidRPr="00AA1BEB">
              <w:rPr>
                <w:rFonts w:asciiTheme="minorHAnsi" w:eastAsia="Times New Roman" w:hAnsiTheme="minorHAnsi" w:cstheme="minorHAnsi"/>
                <w:spacing w:val="-3"/>
              </w:rPr>
              <w:t>From:</w:t>
            </w:r>
          </w:p>
        </w:tc>
        <w:tc>
          <w:tcPr>
            <w:tcW w:w="8821" w:type="dxa"/>
          </w:tcPr>
          <w:p w:rsidR="002620D6" w:rsidRPr="00AA1BEB" w:rsidRDefault="002620D6" w:rsidP="00BF16A2">
            <w:pPr>
              <w:tabs>
                <w:tab w:val="left" w:pos="0"/>
              </w:tabs>
              <w:rPr>
                <w:rFonts w:asciiTheme="minorHAnsi" w:eastAsia="Times New Roman" w:hAnsiTheme="minorHAnsi" w:cstheme="minorHAnsi"/>
                <w:spacing w:val="-3"/>
              </w:rPr>
            </w:pPr>
            <w:bookmarkStart w:id="2" w:name="from"/>
            <w:bookmarkEnd w:id="2"/>
            <w:r>
              <w:rPr>
                <w:rFonts w:asciiTheme="minorHAnsi" w:eastAsia="Times New Roman" w:hAnsiTheme="minorHAnsi" w:cstheme="minorHAnsi"/>
                <w:spacing w:val="-3"/>
              </w:rPr>
              <w:t>Rick Eckhard</w:t>
            </w:r>
            <w:r w:rsidRPr="00AA1BEB">
              <w:rPr>
                <w:rFonts w:asciiTheme="minorHAnsi" w:eastAsia="Times New Roman" w:hAnsiTheme="minorHAnsi" w:cstheme="minorHAnsi"/>
                <w:spacing w:val="-3"/>
              </w:rPr>
              <w:t xml:space="preserve"> </w:t>
            </w:r>
          </w:p>
          <w:p w:rsidR="002620D6" w:rsidRPr="00AA1BEB" w:rsidRDefault="002620D6" w:rsidP="00BF16A2">
            <w:pPr>
              <w:tabs>
                <w:tab w:val="left" w:pos="0"/>
              </w:tabs>
              <w:rPr>
                <w:rFonts w:asciiTheme="minorHAnsi" w:eastAsia="Times New Roman" w:hAnsiTheme="minorHAnsi" w:cstheme="minorHAnsi"/>
                <w:spacing w:val="-2"/>
                <w:sz w:val="18"/>
                <w:szCs w:val="18"/>
              </w:rPr>
            </w:pPr>
          </w:p>
        </w:tc>
      </w:tr>
      <w:tr w:rsidR="002620D6" w:rsidRPr="00041765" w:rsidTr="00BF16A2">
        <w:tblPrEx>
          <w:tblCellMar>
            <w:left w:w="0" w:type="dxa"/>
            <w:right w:w="0" w:type="dxa"/>
          </w:tblCellMar>
        </w:tblPrEx>
        <w:tc>
          <w:tcPr>
            <w:tcW w:w="721" w:type="dxa"/>
          </w:tcPr>
          <w:p w:rsidR="002620D6" w:rsidRPr="00041765" w:rsidRDefault="002620D6" w:rsidP="00BF16A2">
            <w:pPr>
              <w:tabs>
                <w:tab w:val="left" w:pos="0"/>
              </w:tabs>
              <w:rPr>
                <w:rFonts w:asciiTheme="minorHAnsi" w:eastAsia="Times New Roman" w:hAnsiTheme="minorHAnsi" w:cstheme="minorHAnsi"/>
                <w:i/>
              </w:rPr>
            </w:pPr>
            <w:bookmarkStart w:id="3" w:name="fiz"/>
            <w:bookmarkEnd w:id="3"/>
            <w:r w:rsidRPr="00041765">
              <w:rPr>
                <w:rFonts w:asciiTheme="minorHAnsi" w:eastAsia="Times New Roman" w:hAnsiTheme="minorHAnsi" w:cstheme="minorHAnsi"/>
                <w:i/>
              </w:rPr>
              <w:t>Re:</w:t>
            </w:r>
          </w:p>
        </w:tc>
        <w:tc>
          <w:tcPr>
            <w:tcW w:w="8821" w:type="dxa"/>
          </w:tcPr>
          <w:p w:rsidR="002620D6" w:rsidRPr="00041765" w:rsidRDefault="002620D6" w:rsidP="00BF16A2">
            <w:pPr>
              <w:tabs>
                <w:tab w:val="left" w:pos="0"/>
              </w:tabs>
              <w:rPr>
                <w:rFonts w:asciiTheme="minorHAnsi" w:eastAsia="Times New Roman" w:hAnsiTheme="minorHAnsi" w:cstheme="minorHAnsi"/>
                <w:i/>
                <w:spacing w:val="-3"/>
              </w:rPr>
            </w:pPr>
            <w:bookmarkStart w:id="4" w:name="Re"/>
            <w:bookmarkEnd w:id="4"/>
            <w:r>
              <w:rPr>
                <w:rFonts w:asciiTheme="minorHAnsi" w:eastAsia="Times New Roman" w:hAnsiTheme="minorHAnsi" w:cstheme="minorHAnsi"/>
                <w:i/>
                <w:spacing w:val="-3"/>
              </w:rPr>
              <w:t>Florida Bar Leasing Committee Research</w:t>
            </w:r>
          </w:p>
        </w:tc>
      </w:tr>
    </w:tbl>
    <w:p w:rsidR="002620D6" w:rsidRDefault="002620D6" w:rsidP="002620D6">
      <w:pPr>
        <w:pStyle w:val="BlockText"/>
        <w:rPr>
          <w:i/>
        </w:rPr>
      </w:pPr>
    </w:p>
    <w:p w:rsidR="00D91CD8" w:rsidRPr="00055225" w:rsidRDefault="00D91CD8">
      <w:pPr>
        <w:rPr>
          <w:rFonts w:cs="Times New Roman"/>
          <w:b/>
          <w:u w:val="single"/>
        </w:rPr>
      </w:pPr>
      <w:r w:rsidRPr="00055225">
        <w:rPr>
          <w:rFonts w:cs="Times New Roman"/>
          <w:b/>
          <w:u w:val="single"/>
        </w:rPr>
        <w:t xml:space="preserve">Q: </w:t>
      </w:r>
      <w:r w:rsidR="00055225">
        <w:rPr>
          <w:rFonts w:cs="Times New Roman"/>
          <w:b/>
          <w:u w:val="single"/>
        </w:rPr>
        <w:t xml:space="preserve"> </w:t>
      </w:r>
      <w:r w:rsidRPr="00055225">
        <w:rPr>
          <w:rFonts w:cs="Times New Roman"/>
          <w:b/>
          <w:u w:val="single"/>
        </w:rPr>
        <w:t xml:space="preserve">Has Florida defined "best efforts"? </w:t>
      </w:r>
    </w:p>
    <w:p w:rsidR="00D91CD8" w:rsidRDefault="00D91CD8">
      <w:pPr>
        <w:rPr>
          <w:rFonts w:cs="Times New Roman"/>
        </w:rPr>
      </w:pPr>
    </w:p>
    <w:p w:rsidR="0094034E" w:rsidRDefault="0094034E" w:rsidP="002B11E9">
      <w:pPr>
        <w:ind w:firstLine="720"/>
        <w:rPr>
          <w:rFonts w:cs="Times New Roman"/>
        </w:rPr>
      </w:pPr>
      <w:r>
        <w:rPr>
          <w:rFonts w:cs="Times New Roman"/>
        </w:rPr>
        <w:t xml:space="preserve">No.  </w:t>
      </w:r>
      <w:r w:rsidR="002620D6" w:rsidRPr="00D91CD8">
        <w:rPr>
          <w:rFonts w:cs="Times New Roman"/>
        </w:rPr>
        <w:t>Florida law recognizes</w:t>
      </w:r>
      <w:r>
        <w:rPr>
          <w:rFonts w:cs="Times New Roman"/>
        </w:rPr>
        <w:t xml:space="preserve"> only</w:t>
      </w:r>
      <w:r w:rsidR="002620D6" w:rsidRPr="00D91CD8">
        <w:rPr>
          <w:rFonts w:cs="Times New Roman"/>
        </w:rPr>
        <w:t xml:space="preserve"> that </w:t>
      </w:r>
      <w:r w:rsidR="002620D6" w:rsidRPr="00D91CD8">
        <w:rPr>
          <w:rStyle w:val="cohighlightpoints2"/>
          <w:rFonts w:cs="Times New Roman"/>
          <w:b w:val="0"/>
          <w:color w:val="auto"/>
        </w:rPr>
        <w:t>“[t]he definition of ‘best efforts' may vary depending upon the factual circumstances surrounding the transaction and the intent of the parties in entering into the transaction.”</w:t>
      </w:r>
      <w:r w:rsidR="002620D6" w:rsidRPr="00D91CD8">
        <w:rPr>
          <w:rFonts w:cs="Times New Roman"/>
        </w:rPr>
        <w:t xml:space="preserve"> </w:t>
      </w:r>
      <w:hyperlink r:id="rId5" w:anchor="co_pp_sp_735_788" w:history="1">
        <w:proofErr w:type="gramStart"/>
        <w:r w:rsidR="002620D6" w:rsidRPr="00590F7E">
          <w:rPr>
            <w:rStyle w:val="Emphasis"/>
            <w:rFonts w:cs="Times New Roman"/>
            <w:bCs/>
            <w:i w:val="0"/>
            <w:u w:val="single"/>
          </w:rPr>
          <w:t>First Nat'l Bank of Lake Park v. Gay</w:t>
        </w:r>
        <w:r w:rsidR="002620D6" w:rsidRPr="00590F7E">
          <w:rPr>
            <w:rStyle w:val="Emphasis"/>
            <w:rFonts w:cs="Times New Roman"/>
            <w:bCs/>
            <w:i w:val="0"/>
          </w:rPr>
          <w:t>,</w:t>
        </w:r>
        <w:r w:rsidR="002620D6" w:rsidRPr="00D91CD8">
          <w:rPr>
            <w:rStyle w:val="cosearchterm1"/>
            <w:rFonts w:cs="Times New Roman"/>
            <w:b w:val="0"/>
            <w:color w:val="auto"/>
          </w:rPr>
          <w:t xml:space="preserve"> 694 So.2d</w:t>
        </w:r>
        <w:r>
          <w:rPr>
            <w:rStyle w:val="cosearchterm1"/>
            <w:rFonts w:cs="Times New Roman"/>
            <w:b w:val="0"/>
            <w:color w:val="auto"/>
          </w:rPr>
          <w:t xml:space="preserve"> 784, 788 </w:t>
        </w:r>
        <w:r w:rsidR="00590F7E">
          <w:rPr>
            <w:rStyle w:val="cosearchterm1"/>
            <w:rFonts w:cs="Times New Roman"/>
            <w:b w:val="0"/>
            <w:color w:val="auto"/>
          </w:rPr>
          <w:t xml:space="preserve">(Fla. 4th DCA </w:t>
        </w:r>
        <w:r w:rsidR="002620D6" w:rsidRPr="00D91CD8">
          <w:rPr>
            <w:rStyle w:val="cosearchterm1"/>
            <w:rFonts w:cs="Times New Roman"/>
            <w:b w:val="0"/>
            <w:color w:val="auto"/>
          </w:rPr>
          <w:t>1997)</w:t>
        </w:r>
      </w:hyperlink>
      <w:r w:rsidR="00814554">
        <w:rPr>
          <w:rFonts w:cs="Times New Roman"/>
        </w:rPr>
        <w:t>.</w:t>
      </w:r>
      <w:proofErr w:type="gramEnd"/>
    </w:p>
    <w:p w:rsidR="00814554" w:rsidRDefault="00814554">
      <w:pPr>
        <w:rPr>
          <w:rFonts w:cs="Times New Roman"/>
        </w:rPr>
      </w:pPr>
    </w:p>
    <w:p w:rsidR="00590F7E" w:rsidRDefault="0094034E" w:rsidP="002B11E9">
      <w:pPr>
        <w:ind w:firstLine="720"/>
        <w:rPr>
          <w:rFonts w:cs="Times New Roman"/>
        </w:rPr>
      </w:pPr>
      <w:r>
        <w:rPr>
          <w:rFonts w:cs="Times New Roman"/>
        </w:rPr>
        <w:t>Upon review of a trial court's refusal to admit jury instructions defining 'best efforts' as described</w:t>
      </w:r>
      <w:r w:rsidR="00D37E96">
        <w:rPr>
          <w:rFonts w:cs="Times New Roman"/>
        </w:rPr>
        <w:t xml:space="preserve"> in</w:t>
      </w:r>
      <w:r>
        <w:rPr>
          <w:rFonts w:cs="Times New Roman"/>
        </w:rPr>
        <w:t xml:space="preserve"> </w:t>
      </w:r>
      <w:proofErr w:type="spellStart"/>
      <w:r w:rsidRPr="00590F7E">
        <w:rPr>
          <w:rFonts w:cs="Times New Roman"/>
          <w:u w:val="single"/>
        </w:rPr>
        <w:t>In</w:t>
      </w:r>
      <w:proofErr w:type="spellEnd"/>
      <w:r w:rsidRPr="00590F7E">
        <w:rPr>
          <w:rFonts w:cs="Times New Roman"/>
          <w:u w:val="single"/>
        </w:rPr>
        <w:t xml:space="preserve"> re Heard</w:t>
      </w:r>
      <w:r>
        <w:rPr>
          <w:rFonts w:cs="Times New Roman"/>
        </w:rPr>
        <w:t>, 6 B.R. 876, 883 (Bankr.W.D.Ky.1980), t</w:t>
      </w:r>
      <w:r w:rsidR="00D37E96">
        <w:rPr>
          <w:rFonts w:cs="Times New Roman"/>
        </w:rPr>
        <w:t xml:space="preserve">he </w:t>
      </w:r>
      <w:r w:rsidRPr="00590F7E">
        <w:rPr>
          <w:rFonts w:cs="Times New Roman"/>
          <w:i/>
        </w:rPr>
        <w:t>Gay</w:t>
      </w:r>
      <w:r w:rsidR="00D37E96">
        <w:rPr>
          <w:rFonts w:cs="Times New Roman"/>
        </w:rPr>
        <w:t xml:space="preserve"> court</w:t>
      </w:r>
      <w:r>
        <w:rPr>
          <w:rFonts w:cs="Times New Roman"/>
        </w:rPr>
        <w:t xml:space="preserve"> recognized the absence of a "definition o</w:t>
      </w:r>
      <w:r w:rsidR="00D37E96">
        <w:rPr>
          <w:rFonts w:cs="Times New Roman"/>
        </w:rPr>
        <w:t>f 'best efforts' in Florida law."</w:t>
      </w:r>
      <w:r>
        <w:rPr>
          <w:rFonts w:cs="Times New Roman"/>
        </w:rPr>
        <w:t xml:space="preserve">  </w:t>
      </w:r>
      <w:proofErr w:type="gramStart"/>
      <w:r w:rsidRPr="0094034E">
        <w:rPr>
          <w:rFonts w:cs="Times New Roman"/>
          <w:u w:val="single"/>
        </w:rPr>
        <w:t>Id</w:t>
      </w:r>
      <w:r w:rsidR="00D37E96">
        <w:rPr>
          <w:rFonts w:cs="Times New Roman"/>
        </w:rPr>
        <w:t>. at 787.</w:t>
      </w:r>
      <w:proofErr w:type="gramEnd"/>
      <w:r w:rsidR="00D37E96">
        <w:rPr>
          <w:rFonts w:cs="Times New Roman"/>
        </w:rPr>
        <w:t xml:space="preserve">  </w:t>
      </w:r>
    </w:p>
    <w:p w:rsidR="00590F7E" w:rsidRDefault="00590F7E">
      <w:pPr>
        <w:rPr>
          <w:rFonts w:cs="Times New Roman"/>
        </w:rPr>
      </w:pPr>
    </w:p>
    <w:p w:rsidR="00590F7E" w:rsidRDefault="00D37E96" w:rsidP="002B11E9">
      <w:pPr>
        <w:ind w:firstLine="720"/>
        <w:rPr>
          <w:rFonts w:cs="Times New Roman"/>
        </w:rPr>
      </w:pPr>
      <w:r>
        <w:rPr>
          <w:rFonts w:cs="Times New Roman"/>
        </w:rPr>
        <w:t xml:space="preserve">The </w:t>
      </w:r>
      <w:r w:rsidR="00814554" w:rsidRPr="00814554">
        <w:rPr>
          <w:rFonts w:cs="Times New Roman"/>
          <w:i/>
        </w:rPr>
        <w:t>Gay</w:t>
      </w:r>
      <w:r w:rsidR="00814554">
        <w:rPr>
          <w:rFonts w:cs="Times New Roman"/>
        </w:rPr>
        <w:t xml:space="preserve"> </w:t>
      </w:r>
      <w:r>
        <w:rPr>
          <w:rFonts w:cs="Times New Roman"/>
        </w:rPr>
        <w:t xml:space="preserve">court declined to introduce their own definition or adopt the jury instructions from </w:t>
      </w:r>
      <w:r w:rsidRPr="00D37E96">
        <w:rPr>
          <w:rFonts w:cs="Times New Roman"/>
          <w:i/>
        </w:rPr>
        <w:t>Heard</w:t>
      </w:r>
      <w:r>
        <w:rPr>
          <w:rFonts w:cs="Times New Roman"/>
        </w:rPr>
        <w:t xml:space="preserve">, recognizing that </w:t>
      </w:r>
      <w:r w:rsidR="00814554">
        <w:rPr>
          <w:rFonts w:cs="Times New Roman"/>
        </w:rPr>
        <w:t>efforts to define "best efforts" have</w:t>
      </w:r>
      <w:r>
        <w:rPr>
          <w:rFonts w:cs="Times New Roman"/>
        </w:rPr>
        <w:t xml:space="preserve"> </w:t>
      </w:r>
      <w:r w:rsidR="00814554">
        <w:rPr>
          <w:rFonts w:cs="Times New Roman"/>
        </w:rPr>
        <w:t>"</w:t>
      </w:r>
      <w:r>
        <w:rPr>
          <w:rFonts w:cs="Times New Roman"/>
        </w:rPr>
        <w:t xml:space="preserve">been rejected by some courts as a meaningless and </w:t>
      </w:r>
      <w:proofErr w:type="spellStart"/>
      <w:r>
        <w:rPr>
          <w:rFonts w:cs="Times New Roman"/>
        </w:rPr>
        <w:t>unprovable</w:t>
      </w:r>
      <w:proofErr w:type="spellEnd"/>
      <w:r>
        <w:rPr>
          <w:rFonts w:cs="Times New Roman"/>
        </w:rPr>
        <w:t xml:space="preserve"> standard."  </w:t>
      </w:r>
      <w:proofErr w:type="gramStart"/>
      <w:r w:rsidRPr="00D37E96">
        <w:rPr>
          <w:rFonts w:cs="Times New Roman"/>
          <w:u w:val="single"/>
        </w:rPr>
        <w:t>Id</w:t>
      </w:r>
      <w:r>
        <w:rPr>
          <w:rFonts w:cs="Times New Roman"/>
        </w:rPr>
        <w:t xml:space="preserve">. (quoting </w:t>
      </w:r>
      <w:r w:rsidRPr="00D37E96">
        <w:rPr>
          <w:rFonts w:cs="Times New Roman"/>
          <w:i/>
        </w:rPr>
        <w:t>In re Heard</w:t>
      </w:r>
      <w:r>
        <w:rPr>
          <w:rFonts w:cs="Times New Roman"/>
        </w:rPr>
        <w:t>, 6 B.R. at 883).</w:t>
      </w:r>
      <w:proofErr w:type="gramEnd"/>
      <w:r>
        <w:rPr>
          <w:rFonts w:cs="Times New Roman"/>
        </w:rPr>
        <w:t xml:space="preserve"> </w:t>
      </w:r>
      <w:r w:rsidR="00590F7E">
        <w:rPr>
          <w:rFonts w:cs="Times New Roman"/>
        </w:rPr>
        <w:t xml:space="preserve"> The court noted that in </w:t>
      </w:r>
      <w:r w:rsidR="00590F7E">
        <w:rPr>
          <w:rFonts w:cs="Times New Roman"/>
          <w:u w:val="single"/>
        </w:rPr>
        <w:t>United Telecomm.</w:t>
      </w:r>
      <w:r w:rsidR="00590F7E" w:rsidRPr="00590F7E">
        <w:rPr>
          <w:rFonts w:cs="Times New Roman"/>
          <w:u w:val="single"/>
        </w:rPr>
        <w:t>, Inc. v. American Television &amp; Comm. Corp.</w:t>
      </w:r>
      <w:r w:rsidR="00590F7E">
        <w:rPr>
          <w:rFonts w:cs="Times New Roman"/>
        </w:rPr>
        <w:t xml:space="preserve">, the 10th circuit similarly rejected a jury instruction defining the "best efforts" obligation.  </w:t>
      </w:r>
      <w:proofErr w:type="gramStart"/>
      <w:r w:rsidR="00590F7E">
        <w:rPr>
          <w:rFonts w:cs="Times New Roman"/>
        </w:rPr>
        <w:t>536 F.2d 1310 (10th Cir. 1976).</w:t>
      </w:r>
      <w:proofErr w:type="gramEnd"/>
      <w:r w:rsidR="00590F7E">
        <w:rPr>
          <w:rFonts w:cs="Times New Roman"/>
        </w:rPr>
        <w:t xml:space="preserve">  </w:t>
      </w:r>
    </w:p>
    <w:p w:rsidR="00590F7E" w:rsidRDefault="00590F7E" w:rsidP="00590F7E">
      <w:pPr>
        <w:rPr>
          <w:rFonts w:cs="Times New Roman"/>
        </w:rPr>
      </w:pPr>
    </w:p>
    <w:p w:rsidR="00814554" w:rsidRDefault="00590F7E" w:rsidP="002B11E9">
      <w:pPr>
        <w:ind w:firstLine="720"/>
        <w:rPr>
          <w:rFonts w:cs="Times New Roman"/>
        </w:rPr>
      </w:pPr>
      <w:r>
        <w:rPr>
          <w:rFonts w:cs="Times New Roman"/>
        </w:rPr>
        <w:t xml:space="preserve">In </w:t>
      </w:r>
      <w:r>
        <w:rPr>
          <w:rFonts w:cs="Times New Roman"/>
          <w:i/>
        </w:rPr>
        <w:t xml:space="preserve">United </w:t>
      </w:r>
      <w:r w:rsidRPr="00590F7E">
        <w:rPr>
          <w:rFonts w:cs="Times New Roman"/>
          <w:i/>
        </w:rPr>
        <w:t>Telecom</w:t>
      </w:r>
      <w:r>
        <w:rPr>
          <w:rFonts w:cs="Times New Roman"/>
          <w:i/>
        </w:rPr>
        <w:t>m</w:t>
      </w:r>
      <w:r>
        <w:rPr>
          <w:rFonts w:cs="Times New Roman"/>
        </w:rPr>
        <w:t>, t</w:t>
      </w:r>
      <w:r w:rsidRPr="00590F7E">
        <w:rPr>
          <w:rFonts w:cs="Times New Roman"/>
        </w:rPr>
        <w:t>he</w:t>
      </w:r>
      <w:r>
        <w:rPr>
          <w:rFonts w:cs="Times New Roman"/>
        </w:rPr>
        <w:t xml:space="preserve"> trial court instead gave an instruction which set forth the parties' various contentions about the meaning of "best efforts," whereby both parties introduced evidence regarding the negotiations and performance of the contract bearing on the intended meaning of the term.  </w:t>
      </w:r>
    </w:p>
    <w:p w:rsidR="00814554" w:rsidRDefault="00814554">
      <w:pPr>
        <w:rPr>
          <w:rFonts w:cs="Times New Roman"/>
        </w:rPr>
      </w:pPr>
    </w:p>
    <w:p w:rsidR="00590F7E" w:rsidRDefault="00590F7E" w:rsidP="002B11E9">
      <w:pPr>
        <w:ind w:firstLine="720"/>
        <w:rPr>
          <w:rFonts w:cs="Times New Roman"/>
        </w:rPr>
      </w:pPr>
      <w:r>
        <w:rPr>
          <w:rFonts w:cs="Times New Roman"/>
        </w:rPr>
        <w:t xml:space="preserve">The </w:t>
      </w:r>
      <w:r w:rsidRPr="00590F7E">
        <w:rPr>
          <w:rFonts w:cs="Times New Roman"/>
          <w:i/>
        </w:rPr>
        <w:t>Gay</w:t>
      </w:r>
      <w:r>
        <w:rPr>
          <w:rFonts w:cs="Times New Roman"/>
        </w:rPr>
        <w:t xml:space="preserve"> court thus stated that</w:t>
      </w:r>
      <w:r w:rsidR="00D37E96">
        <w:rPr>
          <w:rFonts w:cs="Times New Roman"/>
        </w:rPr>
        <w:t xml:space="preserve"> in Florida, </w:t>
      </w:r>
      <w:r w:rsidR="00D37E96">
        <w:rPr>
          <w:rStyle w:val="cohighlightpoints2"/>
          <w:rFonts w:cs="Times New Roman"/>
          <w:b w:val="0"/>
          <w:color w:val="auto"/>
        </w:rPr>
        <w:t>“[w]</w:t>
      </w:r>
      <w:r w:rsidR="0094034E">
        <w:rPr>
          <w:rStyle w:val="cohighlightpoints2"/>
          <w:rFonts w:cs="Times New Roman"/>
          <w:b w:val="0"/>
          <w:color w:val="auto"/>
        </w:rPr>
        <w:t>here …</w:t>
      </w:r>
      <w:r w:rsidR="002620D6" w:rsidRPr="00D91CD8">
        <w:rPr>
          <w:rStyle w:val="cohighlightpoints2"/>
          <w:rFonts w:cs="Times New Roman"/>
          <w:b w:val="0"/>
          <w:color w:val="auto"/>
        </w:rPr>
        <w:t xml:space="preserve"> the interpretation of the term is in dispute, the qu</w:t>
      </w:r>
      <w:r>
        <w:rPr>
          <w:rStyle w:val="cohighlightpoints2"/>
          <w:rFonts w:cs="Times New Roman"/>
          <w:b w:val="0"/>
          <w:color w:val="auto"/>
        </w:rPr>
        <w:t>estion is properly for the jury,</w:t>
      </w:r>
      <w:r w:rsidR="002620D6" w:rsidRPr="00D91CD8">
        <w:rPr>
          <w:rStyle w:val="cohighlightpoints2"/>
          <w:rFonts w:cs="Times New Roman"/>
          <w:b w:val="0"/>
          <w:color w:val="auto"/>
        </w:rPr>
        <w:t>”</w:t>
      </w:r>
      <w:r>
        <w:rPr>
          <w:rStyle w:val="cohighlightpoints2"/>
          <w:rFonts w:cs="Times New Roman"/>
          <w:b w:val="0"/>
          <w:color w:val="auto"/>
        </w:rPr>
        <w:t xml:space="preserve"> and both parties are not precluded</w:t>
      </w:r>
      <w:r w:rsidR="00814554">
        <w:rPr>
          <w:rStyle w:val="cohighlightpoints2"/>
          <w:rFonts w:cs="Times New Roman"/>
          <w:b w:val="0"/>
          <w:color w:val="auto"/>
        </w:rPr>
        <w:t xml:space="preserve"> from offering instructions explaining "best efforts" in light of the contentions of the parties.</w:t>
      </w:r>
      <w:r w:rsidR="002620D6" w:rsidRPr="00D91CD8">
        <w:rPr>
          <w:rFonts w:cs="Times New Roman"/>
        </w:rPr>
        <w:t xml:space="preserve"> </w:t>
      </w:r>
      <w:r w:rsidR="00D37E96">
        <w:rPr>
          <w:rFonts w:cs="Times New Roman"/>
        </w:rPr>
        <w:t xml:space="preserve"> </w:t>
      </w:r>
      <w:hyperlink r:id="rId6" w:anchor="co_pp_sp_735_788" w:history="1">
        <w:proofErr w:type="gramStart"/>
        <w:r w:rsidR="0094034E" w:rsidRPr="0094034E">
          <w:rPr>
            <w:rStyle w:val="Emphasis"/>
            <w:rFonts w:cs="Times New Roman"/>
            <w:bCs/>
            <w:i w:val="0"/>
            <w:u w:val="single"/>
          </w:rPr>
          <w:t>Id</w:t>
        </w:r>
        <w:r w:rsidR="0094034E" w:rsidRPr="00814554">
          <w:rPr>
            <w:rStyle w:val="Emphasis"/>
            <w:rFonts w:cs="Times New Roman"/>
            <w:bCs/>
            <w:i w:val="0"/>
          </w:rPr>
          <w:t>.</w:t>
        </w:r>
        <w:r w:rsidR="00814554">
          <w:rPr>
            <w:rStyle w:val="cosearchterm1"/>
            <w:rFonts w:cs="Times New Roman"/>
            <w:b w:val="0"/>
            <w:color w:val="auto"/>
          </w:rPr>
          <w:t xml:space="preserve"> </w:t>
        </w:r>
        <w:r w:rsidR="002620D6" w:rsidRPr="00D91CD8">
          <w:rPr>
            <w:rStyle w:val="cosearchterm1"/>
            <w:rFonts w:cs="Times New Roman"/>
            <w:b w:val="0"/>
            <w:color w:val="auto"/>
          </w:rPr>
          <w:t>at 788</w:t>
        </w:r>
      </w:hyperlink>
      <w:r w:rsidR="002620D6" w:rsidRPr="00D91CD8">
        <w:rPr>
          <w:rFonts w:cs="Times New Roman"/>
        </w:rPr>
        <w:t>.</w:t>
      </w:r>
      <w:proofErr w:type="gramEnd"/>
      <w:r w:rsidR="00D37E96">
        <w:rPr>
          <w:rFonts w:cs="Times New Roman"/>
        </w:rPr>
        <w:t xml:space="preserve">  </w:t>
      </w:r>
    </w:p>
    <w:p w:rsidR="00814554" w:rsidRDefault="00814554">
      <w:pPr>
        <w:rPr>
          <w:rFonts w:cs="Times New Roman"/>
        </w:rPr>
      </w:pPr>
    </w:p>
    <w:p w:rsidR="00055225" w:rsidRDefault="00055225">
      <w:pPr>
        <w:rPr>
          <w:rFonts w:cs="Times New Roman"/>
          <w:i/>
          <w:u w:val="single"/>
        </w:rPr>
      </w:pPr>
    </w:p>
    <w:p w:rsidR="00055225" w:rsidRDefault="00055225">
      <w:pPr>
        <w:rPr>
          <w:rFonts w:cs="Times New Roman"/>
          <w:i/>
          <w:u w:val="single"/>
        </w:rPr>
      </w:pPr>
    </w:p>
    <w:p w:rsidR="00055225" w:rsidRDefault="00055225">
      <w:pPr>
        <w:rPr>
          <w:rFonts w:cs="Times New Roman"/>
          <w:i/>
          <w:u w:val="single"/>
        </w:rPr>
      </w:pPr>
    </w:p>
    <w:p w:rsidR="00814554" w:rsidRPr="00055225" w:rsidRDefault="00814554">
      <w:pPr>
        <w:rPr>
          <w:rFonts w:cs="Times New Roman"/>
          <w:b/>
          <w:u w:val="single"/>
        </w:rPr>
      </w:pPr>
      <w:r w:rsidRPr="00055225">
        <w:rPr>
          <w:rFonts w:cs="Times New Roman"/>
          <w:b/>
          <w:u w:val="single"/>
        </w:rPr>
        <w:lastRenderedPageBreak/>
        <w:t>Q</w:t>
      </w:r>
      <w:proofErr w:type="gramStart"/>
      <w:r w:rsidRPr="00055225">
        <w:rPr>
          <w:rFonts w:cs="Times New Roman"/>
          <w:b/>
          <w:u w:val="single"/>
        </w:rPr>
        <w:t>:</w:t>
      </w:r>
      <w:r w:rsidR="0009247A" w:rsidRPr="00055225">
        <w:rPr>
          <w:rFonts w:cs="Times New Roman"/>
          <w:b/>
          <w:u w:val="single"/>
        </w:rPr>
        <w:t xml:space="preserve"> </w:t>
      </w:r>
      <w:r w:rsidR="00055225">
        <w:rPr>
          <w:rFonts w:cs="Times New Roman"/>
          <w:b/>
          <w:u w:val="single"/>
        </w:rPr>
        <w:t xml:space="preserve"> </w:t>
      </w:r>
      <w:r w:rsidR="0009247A" w:rsidRPr="00055225">
        <w:rPr>
          <w:rFonts w:cs="Times New Roman"/>
          <w:b/>
          <w:u w:val="single"/>
        </w:rPr>
        <w:t>In</w:t>
      </w:r>
      <w:proofErr w:type="gramEnd"/>
      <w:r w:rsidR="0009247A" w:rsidRPr="00055225">
        <w:rPr>
          <w:rFonts w:cs="Times New Roman"/>
          <w:b/>
          <w:u w:val="single"/>
        </w:rPr>
        <w:t xml:space="preserve"> the absence of contractual language regarding audit rights or other rights of verification, does Florida law give the Tenant the right to an itemization of those expenses?</w:t>
      </w:r>
      <w:r w:rsidRPr="00055225">
        <w:rPr>
          <w:rFonts w:cs="Times New Roman"/>
          <w:b/>
          <w:u w:val="single"/>
        </w:rPr>
        <w:t xml:space="preserve"> </w:t>
      </w:r>
    </w:p>
    <w:p w:rsidR="0009247A" w:rsidRDefault="0009247A">
      <w:pPr>
        <w:rPr>
          <w:rFonts w:cs="Times New Roman"/>
          <w:i/>
        </w:rPr>
      </w:pPr>
    </w:p>
    <w:p w:rsidR="0009247A" w:rsidRDefault="00055225" w:rsidP="002B11E9">
      <w:pPr>
        <w:ind w:firstLine="720"/>
        <w:rPr>
          <w:rFonts w:cs="Times New Roman"/>
        </w:rPr>
      </w:pPr>
      <w:r>
        <w:rPr>
          <w:rFonts w:cs="Times New Roman"/>
        </w:rPr>
        <w:t xml:space="preserve">Likely, Yes.  </w:t>
      </w:r>
      <w:r w:rsidR="008E788A">
        <w:rPr>
          <w:rFonts w:cs="Times New Roman"/>
        </w:rPr>
        <w:t xml:space="preserve">In Florida, a covenant of good faith, fair dealing and commercial reasonableness may be implied in a contract in order to protect the contracting parties' reasonable expectations.  </w:t>
      </w:r>
      <w:r w:rsidR="008E788A" w:rsidRPr="008E788A">
        <w:rPr>
          <w:rFonts w:cs="Times New Roman"/>
          <w:i/>
        </w:rPr>
        <w:t>See</w:t>
      </w:r>
      <w:r w:rsidR="008E788A">
        <w:rPr>
          <w:rFonts w:cs="Times New Roman"/>
        </w:rPr>
        <w:t xml:space="preserve"> </w:t>
      </w:r>
      <w:r w:rsidR="008E788A" w:rsidRPr="008E788A">
        <w:rPr>
          <w:rFonts w:cs="Times New Roman"/>
          <w:u w:val="single"/>
        </w:rPr>
        <w:t>Cox v. CSX Intermodal, Inc.</w:t>
      </w:r>
      <w:r w:rsidR="008E788A">
        <w:rPr>
          <w:rFonts w:cs="Times New Roman"/>
        </w:rPr>
        <w:t xml:space="preserve">, 732 So. </w:t>
      </w:r>
      <w:proofErr w:type="gramStart"/>
      <w:r w:rsidR="008E788A">
        <w:rPr>
          <w:rFonts w:cs="Times New Roman"/>
        </w:rPr>
        <w:t>2d 1092 (Fla. 1st DCA 1999).</w:t>
      </w:r>
      <w:proofErr w:type="gramEnd"/>
      <w:r w:rsidR="008E788A">
        <w:rPr>
          <w:rFonts w:cs="Times New Roman"/>
        </w:rPr>
        <w:t xml:space="preserve">  </w:t>
      </w:r>
      <w:r w:rsidR="000C1692">
        <w:rPr>
          <w:rFonts w:cs="Times New Roman"/>
        </w:rPr>
        <w:t>If</w:t>
      </w:r>
      <w:r w:rsidR="008E788A">
        <w:rPr>
          <w:rFonts w:cs="Times New Roman"/>
        </w:rPr>
        <w:t xml:space="preserve"> one party has the power to make a discretionary decision without defined standards, a covenant of good faith will be implied.  </w:t>
      </w:r>
      <w:r w:rsidR="008E788A" w:rsidRPr="008E788A">
        <w:rPr>
          <w:rFonts w:cs="Times New Roman"/>
          <w:i/>
        </w:rPr>
        <w:t>See</w:t>
      </w:r>
      <w:r w:rsidR="008E788A">
        <w:rPr>
          <w:rFonts w:cs="Times New Roman"/>
        </w:rPr>
        <w:t xml:space="preserve"> </w:t>
      </w:r>
      <w:proofErr w:type="spellStart"/>
      <w:r w:rsidRPr="00055225">
        <w:rPr>
          <w:rFonts w:cs="Times New Roman"/>
          <w:u w:val="single"/>
        </w:rPr>
        <w:t>Sepe</w:t>
      </w:r>
      <w:proofErr w:type="spellEnd"/>
      <w:r w:rsidRPr="00055225">
        <w:rPr>
          <w:rFonts w:cs="Times New Roman"/>
          <w:u w:val="single"/>
        </w:rPr>
        <w:t xml:space="preserve"> v. City of Safety Harbor</w:t>
      </w:r>
      <w:r>
        <w:rPr>
          <w:rFonts w:cs="Times New Roman"/>
        </w:rPr>
        <w:t xml:space="preserve">, 761 So. 2d 1182, 1185 (Fla. 2d DCA 2000) (stating "where contract afforded party 'substantial discretion to promote that party's self-interest,' the duty of good faith … applied") (quoting </w:t>
      </w:r>
      <w:r w:rsidRPr="00055225">
        <w:rPr>
          <w:rFonts w:cs="Times New Roman"/>
          <w:u w:val="single"/>
        </w:rPr>
        <w:t>Cox</w:t>
      </w:r>
      <w:r>
        <w:rPr>
          <w:rFonts w:cs="Times New Roman"/>
        </w:rPr>
        <w:t>, at 1097-98)</w:t>
      </w:r>
      <w:r w:rsidR="008E788A">
        <w:rPr>
          <w:rFonts w:cs="Times New Roman"/>
        </w:rPr>
        <w:t xml:space="preserve">. </w:t>
      </w:r>
    </w:p>
    <w:p w:rsidR="00BF16A2" w:rsidRDefault="00BF16A2">
      <w:pPr>
        <w:rPr>
          <w:rFonts w:cs="Times New Roman"/>
        </w:rPr>
      </w:pPr>
    </w:p>
    <w:p w:rsidR="00FE1A65" w:rsidRDefault="00055225" w:rsidP="000C1692">
      <w:pPr>
        <w:ind w:firstLine="720"/>
        <w:rPr>
          <w:rFonts w:cs="Times New Roman"/>
        </w:rPr>
      </w:pPr>
      <w:r>
        <w:rPr>
          <w:rFonts w:cs="Times New Roman"/>
        </w:rPr>
        <w:t>It follows that p</w:t>
      </w:r>
      <w:r w:rsidR="00BF16A2">
        <w:rPr>
          <w:rFonts w:cs="Times New Roman"/>
        </w:rPr>
        <w:t>ertaining to</w:t>
      </w:r>
      <w:r>
        <w:rPr>
          <w:rFonts w:cs="Times New Roman"/>
        </w:rPr>
        <w:t xml:space="preserve"> silent lease issues</w:t>
      </w:r>
      <w:r w:rsidR="00BF16A2">
        <w:rPr>
          <w:rFonts w:cs="Times New Roman"/>
        </w:rPr>
        <w:t>, Florida courts are likely to read in an implied duty to cooperate</w:t>
      </w:r>
      <w:r>
        <w:rPr>
          <w:rFonts w:cs="Times New Roman"/>
        </w:rPr>
        <w:t xml:space="preserve"> with regard to a Tenant's right to an itemized list of </w:t>
      </w:r>
      <w:r w:rsidR="00787D11">
        <w:rPr>
          <w:rFonts w:cs="Times New Roman"/>
        </w:rPr>
        <w:t xml:space="preserve">Landlord's </w:t>
      </w:r>
      <w:r>
        <w:rPr>
          <w:rFonts w:cs="Times New Roman"/>
        </w:rPr>
        <w:t>expenses</w:t>
      </w:r>
      <w:r w:rsidR="00BF16A2">
        <w:rPr>
          <w:rFonts w:cs="Times New Roman"/>
        </w:rPr>
        <w:t xml:space="preserve">.  </w:t>
      </w:r>
      <w:r w:rsidR="00787D11">
        <w:rPr>
          <w:rFonts w:cs="Times New Roman"/>
        </w:rPr>
        <w:t xml:space="preserve">A Florida court has already held that a Landlord may not withhold information from Tenant regarding estimated maintenance expenses and real estate taxes, where lease was silent with regard to Landlord's obligations.  </w:t>
      </w:r>
      <w:proofErr w:type="gramStart"/>
      <w:r w:rsidR="00FE1A65" w:rsidRPr="00BF16A2">
        <w:rPr>
          <w:rFonts w:eastAsia="Times New Roman" w:cs="Times New Roman"/>
          <w:u w:val="single"/>
        </w:rPr>
        <w:t>PL Lake Worth Corp. v. 99Cent Stuff-Palm-Springs, LLC</w:t>
      </w:r>
      <w:r w:rsidR="00FE1A65">
        <w:rPr>
          <w:rFonts w:eastAsia="Times New Roman" w:cs="Times New Roman"/>
          <w:u w:val="single"/>
        </w:rPr>
        <w:t xml:space="preserve">, </w:t>
      </w:r>
      <w:r w:rsidR="00FE1A65" w:rsidRPr="00BF16A2">
        <w:rPr>
          <w:rFonts w:eastAsia="Times New Roman" w:cs="Times New Roman"/>
        </w:rPr>
        <w:t>949 So.</w:t>
      </w:r>
      <w:proofErr w:type="gramEnd"/>
      <w:r w:rsidR="00FE1A65" w:rsidRPr="00BF16A2">
        <w:rPr>
          <w:rFonts w:eastAsia="Times New Roman" w:cs="Times New Roman"/>
        </w:rPr>
        <w:t xml:space="preserve"> </w:t>
      </w:r>
      <w:proofErr w:type="gramStart"/>
      <w:r w:rsidR="00FE1A65" w:rsidRPr="00BF16A2">
        <w:rPr>
          <w:rFonts w:eastAsia="Times New Roman" w:cs="Times New Roman"/>
        </w:rPr>
        <w:t>2d 1199</w:t>
      </w:r>
      <w:r>
        <w:rPr>
          <w:rFonts w:cs="Times New Roman"/>
        </w:rPr>
        <w:t xml:space="preserve"> (Fla. 4th</w:t>
      </w:r>
      <w:r w:rsidR="00FE1A65">
        <w:rPr>
          <w:rFonts w:cs="Times New Roman"/>
        </w:rPr>
        <w:t xml:space="preserve"> DCA 2007)</w:t>
      </w:r>
      <w:r w:rsidR="000C1692">
        <w:rPr>
          <w:rFonts w:cs="Times New Roman"/>
        </w:rPr>
        <w:t>.</w:t>
      </w:r>
      <w:proofErr w:type="gramEnd"/>
    </w:p>
    <w:p w:rsidR="00BF16A2" w:rsidRDefault="00BF16A2">
      <w:pPr>
        <w:rPr>
          <w:rFonts w:cs="Times New Roman"/>
        </w:rPr>
      </w:pPr>
    </w:p>
    <w:p w:rsidR="00BF16A2" w:rsidRDefault="00FE1A65" w:rsidP="00055225">
      <w:pPr>
        <w:ind w:firstLine="720"/>
        <w:rPr>
          <w:rFonts w:cs="Times New Roman"/>
        </w:rPr>
      </w:pPr>
      <w:r>
        <w:rPr>
          <w:rFonts w:cs="Times New Roman"/>
        </w:rPr>
        <w:t>The</w:t>
      </w:r>
      <w:r w:rsidR="000C1692">
        <w:rPr>
          <w:rFonts w:cs="Times New Roman"/>
        </w:rPr>
        <w:t xml:space="preserve"> </w:t>
      </w:r>
      <w:r w:rsidR="000C1692" w:rsidRPr="000C1692">
        <w:rPr>
          <w:rFonts w:cs="Times New Roman"/>
          <w:i/>
        </w:rPr>
        <w:t>PL Lake Worth</w:t>
      </w:r>
      <w:r w:rsidR="00055225">
        <w:rPr>
          <w:rFonts w:cs="Times New Roman"/>
        </w:rPr>
        <w:t xml:space="preserve"> court </w:t>
      </w:r>
      <w:r>
        <w:rPr>
          <w:rFonts w:cs="Times New Roman"/>
        </w:rPr>
        <w:t>state</w:t>
      </w:r>
      <w:r w:rsidR="00055225">
        <w:rPr>
          <w:rFonts w:cs="Times New Roman"/>
        </w:rPr>
        <w:t>d</w:t>
      </w:r>
      <w:r>
        <w:rPr>
          <w:rFonts w:cs="Times New Roman"/>
        </w:rPr>
        <w:t xml:space="preserve"> that "[</w:t>
      </w:r>
      <w:proofErr w:type="spellStart"/>
      <w:r>
        <w:rPr>
          <w:rFonts w:cs="Times New Roman"/>
        </w:rPr>
        <w:t>i</w:t>
      </w:r>
      <w:proofErr w:type="spellEnd"/>
      <w:r>
        <w:rPr>
          <w:rFonts w:cs="Times New Roman"/>
        </w:rPr>
        <w:t xml:space="preserve">]f the lease had expressly provided that the owner was not responsible to furnish the information in dispute, the owner would have a point."  </w:t>
      </w:r>
      <w:proofErr w:type="gramStart"/>
      <w:r w:rsidRPr="00FE1A65">
        <w:rPr>
          <w:rFonts w:cs="Times New Roman"/>
          <w:u w:val="single"/>
        </w:rPr>
        <w:t>Id</w:t>
      </w:r>
      <w:r>
        <w:rPr>
          <w:rFonts w:cs="Times New Roman"/>
        </w:rPr>
        <w:t>. at 1200.</w:t>
      </w:r>
      <w:proofErr w:type="gramEnd"/>
      <w:r>
        <w:rPr>
          <w:rFonts w:cs="Times New Roman"/>
        </w:rPr>
        <w:t xml:space="preserve">  However, </w:t>
      </w:r>
      <w:r w:rsidR="00787D11">
        <w:rPr>
          <w:rFonts w:cs="Times New Roman"/>
        </w:rPr>
        <w:t>"</w:t>
      </w:r>
      <w:r>
        <w:rPr>
          <w:rFonts w:cs="Times New Roman"/>
        </w:rPr>
        <w:t>when the lease is silent, the owner has an implied duty to furnish the information, supported by the law.</w:t>
      </w:r>
      <w:r w:rsidR="00787D11">
        <w:rPr>
          <w:rFonts w:cs="Times New Roman"/>
        </w:rPr>
        <w:t>"</w:t>
      </w:r>
      <w:r>
        <w:rPr>
          <w:rFonts w:cs="Times New Roman"/>
        </w:rPr>
        <w:t xml:space="preserve">  </w:t>
      </w:r>
      <w:r w:rsidRPr="00FE1A65">
        <w:rPr>
          <w:rFonts w:cs="Times New Roman"/>
          <w:u w:val="single"/>
        </w:rPr>
        <w:t>Id</w:t>
      </w:r>
      <w:r>
        <w:rPr>
          <w:rFonts w:cs="Times New Roman"/>
        </w:rPr>
        <w:t>. (</w:t>
      </w:r>
      <w:r w:rsidRPr="00FE1A65">
        <w:rPr>
          <w:rFonts w:cs="Times New Roman"/>
          <w:i/>
        </w:rPr>
        <w:t>citing</w:t>
      </w:r>
      <w:r>
        <w:rPr>
          <w:rFonts w:cs="Times New Roman"/>
        </w:rPr>
        <w:t xml:space="preserve"> </w:t>
      </w:r>
      <w:r w:rsidRPr="00FE1A65">
        <w:rPr>
          <w:rFonts w:cs="Times New Roman"/>
          <w:u w:val="single"/>
        </w:rPr>
        <w:t>Sharp v. Williams</w:t>
      </w:r>
      <w:r>
        <w:rPr>
          <w:rFonts w:cs="Times New Roman"/>
        </w:rPr>
        <w:t>, 192 So. 476, 480 (Fla. 1939) (stating that there is an implied duty to cooperate and thus not hinder or obstruct a stipulation that ano</w:t>
      </w:r>
      <w:r w:rsidR="00055225">
        <w:rPr>
          <w:rFonts w:cs="Times New Roman"/>
        </w:rPr>
        <w:t>ther shall do a certain thing).</w:t>
      </w:r>
      <w:r>
        <w:rPr>
          <w:rFonts w:cs="Times New Roman"/>
        </w:rPr>
        <w:t xml:space="preserve">  </w:t>
      </w:r>
      <w:r w:rsidR="00BF16A2">
        <w:rPr>
          <w:rFonts w:cs="Times New Roman"/>
        </w:rPr>
        <w:t>The Landlord unsuccessfully argued that the contr</w:t>
      </w:r>
      <w:r w:rsidR="00055225">
        <w:rPr>
          <w:rFonts w:cs="Times New Roman"/>
        </w:rPr>
        <w:t>act did not require the</w:t>
      </w:r>
      <w:r w:rsidR="00BF16A2">
        <w:rPr>
          <w:rFonts w:cs="Times New Roman"/>
        </w:rPr>
        <w:t xml:space="preserve"> furnish</w:t>
      </w:r>
      <w:r w:rsidR="00055225">
        <w:rPr>
          <w:rFonts w:cs="Times New Roman"/>
        </w:rPr>
        <w:t>ing of</w:t>
      </w:r>
      <w:r w:rsidR="00BF16A2">
        <w:rPr>
          <w:rFonts w:cs="Times New Roman"/>
        </w:rPr>
        <w:t xml:space="preserve"> the information, and thu</w:t>
      </w:r>
      <w:r w:rsidR="00055225">
        <w:rPr>
          <w:rFonts w:cs="Times New Roman"/>
        </w:rPr>
        <w:t xml:space="preserve">s there was no duty to do so. </w:t>
      </w:r>
      <w:r w:rsidR="00BF16A2">
        <w:rPr>
          <w:rFonts w:cs="Times New Roman"/>
        </w:rPr>
        <w:t xml:space="preserve"> </w:t>
      </w:r>
    </w:p>
    <w:p w:rsidR="00BF16A2" w:rsidRDefault="00BF16A2">
      <w:pPr>
        <w:rPr>
          <w:rFonts w:cs="Times New Roman"/>
        </w:rPr>
      </w:pPr>
    </w:p>
    <w:p w:rsidR="00590F7E" w:rsidRDefault="00590F7E">
      <w:pPr>
        <w:rPr>
          <w:rFonts w:cs="Times New Roman"/>
        </w:rPr>
      </w:pPr>
    </w:p>
    <w:p w:rsidR="002620D6" w:rsidRPr="00590F7E" w:rsidRDefault="002620D6">
      <w:pPr>
        <w:rPr>
          <w:rFonts w:cs="Times New Roman"/>
        </w:rPr>
      </w:pPr>
    </w:p>
    <w:sectPr w:rsidR="002620D6" w:rsidRPr="00590F7E" w:rsidSect="00F902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620D6"/>
    <w:rsid w:val="00055225"/>
    <w:rsid w:val="0009247A"/>
    <w:rsid w:val="000C1692"/>
    <w:rsid w:val="002620D6"/>
    <w:rsid w:val="002B11E9"/>
    <w:rsid w:val="00590F7E"/>
    <w:rsid w:val="00787D11"/>
    <w:rsid w:val="00814554"/>
    <w:rsid w:val="008E788A"/>
    <w:rsid w:val="00903106"/>
    <w:rsid w:val="0094034E"/>
    <w:rsid w:val="00BF16A2"/>
    <w:rsid w:val="00D30D94"/>
    <w:rsid w:val="00D36528"/>
    <w:rsid w:val="00D37E96"/>
    <w:rsid w:val="00D91CD8"/>
    <w:rsid w:val="00F90218"/>
    <w:rsid w:val="00FE1A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0D6"/>
    <w:pPr>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qFormat/>
    <w:rsid w:val="002620D6"/>
    <w:pPr>
      <w:spacing w:after="240"/>
    </w:pPr>
    <w:rPr>
      <w:rFonts w:eastAsiaTheme="minorEastAsia"/>
      <w:iCs/>
    </w:rPr>
  </w:style>
  <w:style w:type="character" w:styleId="Emphasis">
    <w:name w:val="Emphasis"/>
    <w:basedOn w:val="DefaultParagraphFont"/>
    <w:uiPriority w:val="20"/>
    <w:qFormat/>
    <w:rsid w:val="002620D6"/>
    <w:rPr>
      <w:i/>
      <w:iCs/>
    </w:rPr>
  </w:style>
  <w:style w:type="character" w:customStyle="1" w:styleId="cosearchterm1">
    <w:name w:val="co_searchterm1"/>
    <w:basedOn w:val="DefaultParagraphFont"/>
    <w:rsid w:val="002620D6"/>
    <w:rPr>
      <w:b/>
      <w:bCs/>
      <w:color w:val="252525"/>
    </w:rPr>
  </w:style>
  <w:style w:type="character" w:customStyle="1" w:styleId="cohighlightpoints2">
    <w:name w:val="co_highlightpoints2"/>
    <w:basedOn w:val="DefaultParagraphFont"/>
    <w:rsid w:val="002620D6"/>
    <w:rPr>
      <w:b/>
      <w:bCs/>
      <w:color w:val="252525"/>
    </w:rPr>
  </w:style>
</w:styles>
</file>

<file path=word/webSettings.xml><?xml version="1.0" encoding="utf-8"?>
<w:webSettings xmlns:r="http://schemas.openxmlformats.org/officeDocument/2006/relationships" xmlns:w="http://schemas.openxmlformats.org/wordprocessingml/2006/main">
  <w:divs>
    <w:div w:id="1220095229">
      <w:bodyDiv w:val="1"/>
      <w:marLeft w:val="0"/>
      <w:marRight w:val="0"/>
      <w:marTop w:val="0"/>
      <w:marBottom w:val="0"/>
      <w:divBdr>
        <w:top w:val="none" w:sz="0" w:space="0" w:color="auto"/>
        <w:left w:val="none" w:sz="0" w:space="0" w:color="auto"/>
        <w:bottom w:val="none" w:sz="0" w:space="0" w:color="auto"/>
        <w:right w:val="none" w:sz="0" w:space="0" w:color="auto"/>
      </w:divBdr>
      <w:divsChild>
        <w:div w:id="321013210">
          <w:marLeft w:val="0"/>
          <w:marRight w:val="0"/>
          <w:marTop w:val="0"/>
          <w:marBottom w:val="0"/>
          <w:divBdr>
            <w:top w:val="none" w:sz="0" w:space="0" w:color="auto"/>
            <w:left w:val="single" w:sz="6" w:space="0" w:color="BBBBBB"/>
            <w:bottom w:val="single" w:sz="6" w:space="0" w:color="BBBBBB"/>
            <w:right w:val="single" w:sz="6" w:space="0" w:color="BBBBBB"/>
          </w:divBdr>
          <w:divsChild>
            <w:div w:id="537206486">
              <w:marLeft w:val="0"/>
              <w:marRight w:val="0"/>
              <w:marTop w:val="0"/>
              <w:marBottom w:val="0"/>
              <w:divBdr>
                <w:top w:val="none" w:sz="0" w:space="0" w:color="auto"/>
                <w:left w:val="none" w:sz="0" w:space="0" w:color="auto"/>
                <w:bottom w:val="none" w:sz="0" w:space="0" w:color="auto"/>
                <w:right w:val="none" w:sz="0" w:space="0" w:color="auto"/>
              </w:divBdr>
              <w:divsChild>
                <w:div w:id="935527342">
                  <w:marLeft w:val="0"/>
                  <w:marRight w:val="0"/>
                  <w:marTop w:val="0"/>
                  <w:marBottom w:val="0"/>
                  <w:divBdr>
                    <w:top w:val="none" w:sz="0" w:space="0" w:color="auto"/>
                    <w:left w:val="none" w:sz="0" w:space="0" w:color="auto"/>
                    <w:bottom w:val="none" w:sz="0" w:space="0" w:color="auto"/>
                    <w:right w:val="none" w:sz="0" w:space="0" w:color="auto"/>
                  </w:divBdr>
                  <w:divsChild>
                    <w:div w:id="794635759">
                      <w:marLeft w:val="0"/>
                      <w:marRight w:val="0"/>
                      <w:marTop w:val="0"/>
                      <w:marBottom w:val="0"/>
                      <w:divBdr>
                        <w:top w:val="none" w:sz="0" w:space="0" w:color="auto"/>
                        <w:left w:val="none" w:sz="0" w:space="0" w:color="auto"/>
                        <w:bottom w:val="none" w:sz="0" w:space="0" w:color="auto"/>
                        <w:right w:val="none" w:sz="0" w:space="0" w:color="auto"/>
                      </w:divBdr>
                      <w:divsChild>
                        <w:div w:id="1737703339">
                          <w:marLeft w:val="0"/>
                          <w:marRight w:val="0"/>
                          <w:marTop w:val="0"/>
                          <w:marBottom w:val="0"/>
                          <w:divBdr>
                            <w:top w:val="none" w:sz="0" w:space="0" w:color="auto"/>
                            <w:left w:val="none" w:sz="0" w:space="0" w:color="auto"/>
                            <w:bottom w:val="none" w:sz="0" w:space="0" w:color="auto"/>
                            <w:right w:val="none" w:sz="0" w:space="0" w:color="auto"/>
                          </w:divBdr>
                          <w:divsChild>
                            <w:div w:id="1362051736">
                              <w:marLeft w:val="0"/>
                              <w:marRight w:val="0"/>
                              <w:marTop w:val="0"/>
                              <w:marBottom w:val="0"/>
                              <w:divBdr>
                                <w:top w:val="none" w:sz="0" w:space="0" w:color="auto"/>
                                <w:left w:val="none" w:sz="0" w:space="0" w:color="auto"/>
                                <w:bottom w:val="none" w:sz="0" w:space="0" w:color="auto"/>
                                <w:right w:val="none" w:sz="0" w:space="0" w:color="auto"/>
                              </w:divBdr>
                              <w:divsChild>
                                <w:div w:id="246380057">
                                  <w:marLeft w:val="0"/>
                                  <w:marRight w:val="0"/>
                                  <w:marTop w:val="0"/>
                                  <w:marBottom w:val="0"/>
                                  <w:divBdr>
                                    <w:top w:val="none" w:sz="0" w:space="0" w:color="auto"/>
                                    <w:left w:val="none" w:sz="0" w:space="0" w:color="auto"/>
                                    <w:bottom w:val="none" w:sz="0" w:space="0" w:color="auto"/>
                                    <w:right w:val="none" w:sz="0" w:space="0" w:color="auto"/>
                                  </w:divBdr>
                                  <w:divsChild>
                                    <w:div w:id="720598064">
                                      <w:marLeft w:val="0"/>
                                      <w:marRight w:val="0"/>
                                      <w:marTop w:val="0"/>
                                      <w:marBottom w:val="0"/>
                                      <w:divBdr>
                                        <w:top w:val="none" w:sz="0" w:space="0" w:color="auto"/>
                                        <w:left w:val="none" w:sz="0" w:space="0" w:color="auto"/>
                                        <w:bottom w:val="none" w:sz="0" w:space="0" w:color="auto"/>
                                        <w:right w:val="none" w:sz="0" w:space="0" w:color="auto"/>
                                      </w:divBdr>
                                      <w:divsChild>
                                        <w:div w:id="1974212154">
                                          <w:marLeft w:val="1340"/>
                                          <w:marRight w:val="1340"/>
                                          <w:marTop w:val="0"/>
                                          <w:marBottom w:val="0"/>
                                          <w:divBdr>
                                            <w:top w:val="none" w:sz="0" w:space="0" w:color="auto"/>
                                            <w:left w:val="none" w:sz="0" w:space="0" w:color="auto"/>
                                            <w:bottom w:val="none" w:sz="0" w:space="0" w:color="auto"/>
                                            <w:right w:val="none" w:sz="0" w:space="0" w:color="auto"/>
                                          </w:divBdr>
                                          <w:divsChild>
                                            <w:div w:id="1298535835">
                                              <w:marLeft w:val="0"/>
                                              <w:marRight w:val="0"/>
                                              <w:marTop w:val="0"/>
                                              <w:marBottom w:val="0"/>
                                              <w:divBdr>
                                                <w:top w:val="none" w:sz="0" w:space="0" w:color="auto"/>
                                                <w:left w:val="none" w:sz="0" w:space="0" w:color="auto"/>
                                                <w:bottom w:val="none" w:sz="0" w:space="0" w:color="auto"/>
                                                <w:right w:val="none" w:sz="0" w:space="0" w:color="auto"/>
                                              </w:divBdr>
                                              <w:divsChild>
                                                <w:div w:id="1305618513">
                                                  <w:marLeft w:val="0"/>
                                                  <w:marRight w:val="0"/>
                                                  <w:marTop w:val="0"/>
                                                  <w:marBottom w:val="0"/>
                                                  <w:divBdr>
                                                    <w:top w:val="none" w:sz="0" w:space="0" w:color="auto"/>
                                                    <w:left w:val="none" w:sz="0" w:space="0" w:color="auto"/>
                                                    <w:bottom w:val="none" w:sz="0" w:space="0" w:color="auto"/>
                                                    <w:right w:val="none" w:sz="0" w:space="0" w:color="auto"/>
                                                  </w:divBdr>
                                                  <w:divsChild>
                                                    <w:div w:id="1405180503">
                                                      <w:marLeft w:val="0"/>
                                                      <w:marRight w:val="0"/>
                                                      <w:marTop w:val="0"/>
                                                      <w:marBottom w:val="0"/>
                                                      <w:divBdr>
                                                        <w:top w:val="none" w:sz="0" w:space="0" w:color="auto"/>
                                                        <w:left w:val="none" w:sz="0" w:space="0" w:color="auto"/>
                                                        <w:bottom w:val="none" w:sz="0" w:space="0" w:color="auto"/>
                                                        <w:right w:val="none" w:sz="0" w:space="0" w:color="auto"/>
                                                      </w:divBdr>
                                                      <w:divsChild>
                                                        <w:div w:id="1254821007">
                                                          <w:marLeft w:val="0"/>
                                                          <w:marRight w:val="0"/>
                                                          <w:marTop w:val="0"/>
                                                          <w:marBottom w:val="0"/>
                                                          <w:divBdr>
                                                            <w:top w:val="none" w:sz="0" w:space="0" w:color="auto"/>
                                                            <w:left w:val="none" w:sz="0" w:space="0" w:color="auto"/>
                                                            <w:bottom w:val="none" w:sz="0" w:space="0" w:color="auto"/>
                                                            <w:right w:val="none" w:sz="0" w:space="0" w:color="auto"/>
                                                          </w:divBdr>
                                                          <w:divsChild>
                                                            <w:div w:id="1227643852">
                                                              <w:marLeft w:val="0"/>
                                                              <w:marRight w:val="0"/>
                                                              <w:marTop w:val="0"/>
                                                              <w:marBottom w:val="0"/>
                                                              <w:divBdr>
                                                                <w:top w:val="none" w:sz="0" w:space="0" w:color="auto"/>
                                                                <w:left w:val="none" w:sz="0" w:space="0" w:color="auto"/>
                                                                <w:bottom w:val="none" w:sz="0" w:space="0" w:color="auto"/>
                                                                <w:right w:val="none" w:sz="0" w:space="0" w:color="auto"/>
                                                              </w:divBdr>
                                                              <w:divsChild>
                                                                <w:div w:id="1898709441">
                                                                  <w:marLeft w:val="0"/>
                                                                  <w:marRight w:val="0"/>
                                                                  <w:marTop w:val="0"/>
                                                                  <w:marBottom w:val="0"/>
                                                                  <w:divBdr>
                                                                    <w:top w:val="none" w:sz="0" w:space="0" w:color="auto"/>
                                                                    <w:left w:val="none" w:sz="0" w:space="0" w:color="auto"/>
                                                                    <w:bottom w:val="none" w:sz="0" w:space="0" w:color="auto"/>
                                                                    <w:right w:val="none" w:sz="0" w:space="0" w:color="auto"/>
                                                                  </w:divBdr>
                                                                  <w:divsChild>
                                                                    <w:div w:id="1101605947">
                                                                      <w:marLeft w:val="0"/>
                                                                      <w:marRight w:val="0"/>
                                                                      <w:marTop w:val="0"/>
                                                                      <w:marBottom w:val="0"/>
                                                                      <w:divBdr>
                                                                        <w:top w:val="none" w:sz="0" w:space="0" w:color="auto"/>
                                                                        <w:left w:val="none" w:sz="0" w:space="0" w:color="auto"/>
                                                                        <w:bottom w:val="none" w:sz="0" w:space="0" w:color="auto"/>
                                                                        <w:right w:val="none" w:sz="0" w:space="0" w:color="auto"/>
                                                                      </w:divBdr>
                                                                      <w:divsChild>
                                                                        <w:div w:id="90414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next.westlaw.com/Link/Document/FullText?findType=Y&amp;serNum=1997105113&amp;pubNum=735&amp;originationContext=document&amp;transitionType=DocumentItem&amp;contextData=(sc.Keycite)" TargetMode="External"/><Relationship Id="rId5" Type="http://schemas.openxmlformats.org/officeDocument/2006/relationships/hyperlink" Target="https://a.next.westlaw.com/Link/Document/FullText?findType=Y&amp;serNum=1997105113&amp;pubNum=735&amp;originationContext=document&amp;transitionType=DocumentItem&amp;contextData=(sc.Keycit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Holland &amp; Knight LLP</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rhgidel</dc:creator>
  <cp:lastModifiedBy>rhgidel</cp:lastModifiedBy>
  <cp:revision>4</cp:revision>
  <dcterms:created xsi:type="dcterms:W3CDTF">2013-01-18T13:29:00Z</dcterms:created>
  <dcterms:modified xsi:type="dcterms:W3CDTF">2013-01-18T16:17:00Z</dcterms:modified>
</cp:coreProperties>
</file>