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lockText"/>
        <w:jc w:val="center"/>
        <w:rPr>
          <w:b/>
          <w:sz w:val="28"/>
          <w:szCs w:val="28"/>
        </w:rPr>
      </w:pPr>
      <w:r>
        <w:rPr>
          <w:b/>
          <w:sz w:val="28"/>
          <w:szCs w:val="28"/>
        </w:rPr>
        <w:t>The Florida Bar: Real Property, Probate and Trust Law Section</w:t>
      </w:r>
    </w:p>
    <w:p>
      <w:pPr>
        <w:pStyle w:val="BlockText"/>
        <w:jc w:val="center"/>
        <w:rPr>
          <w:b/>
          <w:sz w:val="28"/>
          <w:szCs w:val="28"/>
        </w:rPr>
      </w:pPr>
      <w:r>
        <w:rPr>
          <w:b/>
          <w:sz w:val="28"/>
          <w:szCs w:val="28"/>
        </w:rPr>
        <w:t>Construction Law Committee</w:t>
      </w:r>
    </w:p>
    <w:p>
      <w:pPr>
        <w:pStyle w:val="BlockText"/>
        <w:jc w:val="center"/>
        <w:rPr>
          <w:b/>
        </w:rPr>
      </w:pPr>
    </w:p>
    <w:p>
      <w:pPr>
        <w:pStyle w:val="BlockText"/>
        <w:jc w:val="center"/>
        <w:rPr>
          <w:b/>
          <w:i/>
          <w:sz w:val="28"/>
          <w:szCs w:val="28"/>
          <w:u w:val="single"/>
        </w:rPr>
      </w:pPr>
      <w:r>
        <w:rPr>
          <w:b/>
          <w:i/>
          <w:sz w:val="28"/>
          <w:szCs w:val="28"/>
          <w:u w:val="single"/>
        </w:rPr>
        <w:t>Construction Regulation Subcommittee Monthly Report</w:t>
      </w:r>
    </w:p>
    <w:p>
      <w:pPr>
        <w:pStyle w:val="BlockText"/>
        <w:jc w:val="center"/>
      </w:pPr>
      <w:r>
        <w:t>Months of January and February 2014</w:t>
      </w:r>
    </w:p>
    <w:p>
      <w:pPr>
        <w:pStyle w:val="BlockText"/>
        <w:rPr>
          <w:b/>
          <w:u w:val="single"/>
        </w:rPr>
      </w:pPr>
    </w:p>
    <w:p>
      <w:pPr>
        <w:pStyle w:val="BlockText"/>
        <w:rPr>
          <w:b/>
          <w:u w:val="single"/>
        </w:rPr>
      </w:pPr>
      <w:r>
        <w:rPr>
          <w:b/>
          <w:u w:val="single"/>
        </w:rPr>
        <w:t>State Appellate Decisions:</w:t>
      </w:r>
    </w:p>
    <w:p>
      <w:pPr>
        <w:pStyle w:val="BlockText"/>
        <w:rPr>
          <w:b/>
          <w:u w:val="single"/>
        </w:rPr>
      </w:pPr>
    </w:p>
    <w:p>
      <w:pPr>
        <w:autoSpaceDE w:val="0"/>
        <w:autoSpaceDN w:val="0"/>
        <w:adjustRightInd w:val="0"/>
        <w:rPr>
          <w:rFonts w:ascii="TimesNewRomanPSMT,Italic" w:hAnsi="TimesNewRomanPSMT,Italic" w:cs="TimesNewRomanPSMT,Italic"/>
          <w:i/>
          <w:iCs/>
        </w:rPr>
      </w:pPr>
      <w:r>
        <w:rPr>
          <w:rFonts w:ascii="TimesNewRomanPSMT,Italic" w:hAnsi="TimesNewRomanPSMT,Italic" w:cs="TimesNewRomanPSMT,Italic"/>
          <w:i/>
          <w:iCs/>
        </w:rPr>
        <w:t>Third party practice and the statute of limitations:</w:t>
      </w:r>
    </w:p>
    <w:p>
      <w:pPr>
        <w:autoSpaceDE w:val="0"/>
        <w:autoSpaceDN w:val="0"/>
        <w:adjustRightInd w:val="0"/>
        <w:rPr>
          <w:rFonts w:ascii="TimesNewRomanPSMT,Italic" w:hAnsi="TimesNewRomanPSMT,Italic" w:cs="TimesNewRomanPSMT,Italic"/>
          <w:i/>
          <w:iCs/>
        </w:rPr>
      </w:pPr>
    </w:p>
    <w:p>
      <w:pPr>
        <w:autoSpaceDE w:val="0"/>
        <w:autoSpaceDN w:val="0"/>
        <w:adjustRightInd w:val="0"/>
        <w:spacing w:line="276" w:lineRule="auto"/>
        <w:jc w:val="both"/>
        <w:rPr>
          <w:rFonts w:ascii="TimesNewRomanPSMT" w:hAnsi="TimesNewRomanPSMT" w:cs="TimesNewRomanPSMT"/>
        </w:rPr>
      </w:pPr>
      <w:r>
        <w:rPr>
          <w:rFonts w:ascii="TimesNewRomanPSMT" w:hAnsi="TimesNewRomanPSMT" w:cs="TimesNewRomanPSMT"/>
        </w:rPr>
        <w:t>Caduceus Properties, LLC v. William G. Graney, P.E., — So. 3d — (Fla. 2014). Owner sued architect for defective HVAC design and architect brought in engineer as a third-party defendant. Owner amended its complaint to add a direct action against the engineer, but only after the statute of limitations expired and the architect filed for bankruptcy protection and was dismissed from the case. Owner prevailed at trial and engineer appealed based on statute of limitations defense. Appellate court determined the amendment did not “relate back” under Florida Rule of Civil Procedure 1.190(c). Supreme Court of Florida quashed and concluded that “an amended complaint filed after the statute of limitations has expired, naming a party who had previously been made a third-party defendant as a party defendant, relates back under rule 1.190(c) to the filing of the third-party complaint.” This result is conditioned on (1) the third-party complaint must have been filed prior to the expiration of the statute of limitations, and (2) the plaintiff’s claims must arise from the same conduct, transaction, or occurrence.</w:t>
      </w:r>
    </w:p>
    <w:p>
      <w:pPr>
        <w:autoSpaceDE w:val="0"/>
        <w:autoSpaceDN w:val="0"/>
        <w:adjustRightInd w:val="0"/>
        <w:jc w:val="both"/>
        <w:rPr>
          <w:rFonts w:ascii="TimesNewRomanPSMT" w:hAnsi="TimesNewRomanPSMT" w:cs="TimesNewRomanPSMT"/>
        </w:rPr>
      </w:pPr>
    </w:p>
    <w:p>
      <w:pPr>
        <w:autoSpaceDE w:val="0"/>
        <w:autoSpaceDN w:val="0"/>
        <w:adjustRightInd w:val="0"/>
        <w:jc w:val="both"/>
        <w:rPr>
          <w:rFonts w:ascii="TimesNewRomanPSMT,Italic" w:hAnsi="TimesNewRomanPSMT,Italic" w:cs="TimesNewRomanPSMT,Italic"/>
          <w:i/>
          <w:iCs/>
        </w:rPr>
      </w:pPr>
      <w:r>
        <w:rPr>
          <w:rFonts w:ascii="TimesNewRomanPSMT,Italic" w:hAnsi="TimesNewRomanPSMT,Italic" w:cs="TimesNewRomanPSMT,Italic"/>
          <w:i/>
          <w:iCs/>
        </w:rPr>
        <w:t>Confidentiality in settlement agreements:</w:t>
      </w:r>
    </w:p>
    <w:p>
      <w:pPr>
        <w:autoSpaceDE w:val="0"/>
        <w:autoSpaceDN w:val="0"/>
        <w:adjustRightInd w:val="0"/>
        <w:jc w:val="both"/>
        <w:rPr>
          <w:rFonts w:ascii="TimesNewRomanPSMT,Italic" w:hAnsi="TimesNewRomanPSMT,Italic" w:cs="TimesNewRomanPSMT,Italic"/>
          <w:i/>
          <w:iCs/>
        </w:rPr>
      </w:pPr>
    </w:p>
    <w:p>
      <w:pPr>
        <w:autoSpaceDE w:val="0"/>
        <w:autoSpaceDN w:val="0"/>
        <w:adjustRightInd w:val="0"/>
        <w:spacing w:line="276" w:lineRule="auto"/>
        <w:jc w:val="both"/>
        <w:rPr>
          <w:rFonts w:ascii="TimesNewRomanPSMT" w:hAnsi="TimesNewRomanPSMT" w:cs="TimesNewRomanPSMT"/>
        </w:rPr>
      </w:pPr>
      <w:r>
        <w:rPr>
          <w:rFonts w:ascii="TimesNewRomanPSMT" w:hAnsi="TimesNewRomanPSMT" w:cs="TimesNewRomanPSMT"/>
        </w:rPr>
        <w:t>Gulliver Schools, Inc. v. Snay, — So. 3d — (Fla. 3d DCA 2014). Headmaster of private school settled his age discrimination claim against his previous employer. The settlement agreement included a confidentiality clause that sanctioned disclosure of the terms or even the existence of the settlement agreement. Four days later his college-aged daughter posted on Facebook that “Papa Snay won the case,” the school was paying for her summer vacation to Europe, and concluded with “SUCK IT.” Trial court ordered the school to pay the settlement amount of $80,000 despite the Facebook post and the school appealed. Third DCA reversed based on headmaster’s breach of the plain and unambiguous meaning of the confidentiality clause that made no exception for disclosure to family members.</w:t>
      </w:r>
    </w:p>
    <w:p>
      <w:pPr>
        <w:pStyle w:val="BlockText"/>
      </w:pPr>
      <w:r>
        <w:tab/>
      </w:r>
    </w:p>
    <w:p>
      <w:pPr>
        <w:pStyle w:val="BlockText"/>
      </w:pPr>
      <w:r>
        <w:rPr>
          <w:b/>
          <w:u w:val="single"/>
        </w:rPr>
        <w:t>DOAH Orders:</w:t>
      </w:r>
      <w:r>
        <w:t xml:space="preserve"> </w:t>
      </w:r>
    </w:p>
    <w:p>
      <w:pPr>
        <w:pStyle w:val="BlockText"/>
      </w:pPr>
    </w:p>
    <w:p>
      <w:pPr>
        <w:pStyle w:val="BlockText"/>
      </w:pPr>
      <w:r>
        <w:tab/>
        <w:t>(Nothing to report)</w:t>
      </w:r>
    </w:p>
    <w:p>
      <w:pPr>
        <w:pStyle w:val="BlockText"/>
      </w:pPr>
    </w:p>
    <w:p>
      <w:pPr>
        <w:pStyle w:val="BlockText"/>
      </w:pPr>
      <w:r>
        <w:rPr>
          <w:b/>
          <w:u w:val="single"/>
        </w:rPr>
        <w:t>State Agency Actions</w:t>
      </w:r>
      <w:r>
        <w:t>: Based on the requirements of Senate Bill 50, passed earlier this year, the Attorney General's office has proposed that all boards adopt a rule providing for "public input." Some boards have indicated they will do so, while other boards have indicated that they see no problem that needs to be addressed.</w:t>
      </w:r>
    </w:p>
    <w:p>
      <w:pPr>
        <w:pStyle w:val="BlockText"/>
      </w:pPr>
    </w:p>
    <w:p>
      <w:pPr>
        <w:pStyle w:val="BlockText"/>
      </w:pPr>
    </w:p>
    <w:p>
      <w:pPr>
        <w:pStyle w:val="BlockText"/>
      </w:pPr>
      <w:r>
        <w:t xml:space="preserve">A. </w:t>
      </w:r>
      <w:r>
        <w:rPr>
          <w:b/>
        </w:rPr>
        <w:t>Department of Business and Professional Regulation.</w:t>
      </w:r>
    </w:p>
    <w:p>
      <w:pPr>
        <w:pStyle w:val="BlockText"/>
        <w:ind w:left="720"/>
      </w:pPr>
    </w:p>
    <w:p>
      <w:pPr>
        <w:pStyle w:val="BlockText"/>
        <w:numPr>
          <w:ilvl w:val="0"/>
          <w:numId w:val="32"/>
        </w:numPr>
        <w:rPr>
          <w:b/>
        </w:rPr>
      </w:pPr>
      <w:r>
        <w:rPr>
          <w:u w:val="single"/>
        </w:rPr>
        <w:t>Construction Industry Licensing Board</w:t>
      </w:r>
      <w:r>
        <w:t xml:space="preserve"> – Chapter 489, Part I, FS and Chapter 61G4 FAC: </w:t>
      </w:r>
    </w:p>
    <w:p>
      <w:pPr>
        <w:pStyle w:val="BlockText"/>
        <w:numPr>
          <w:ilvl w:val="1"/>
          <w:numId w:val="32"/>
        </w:numPr>
        <w:rPr>
          <w:b/>
        </w:rPr>
      </w:pPr>
      <w:r>
        <w:t>This board has proposed adopted, repealed or amended the following rules (if any):</w:t>
      </w:r>
    </w:p>
    <w:p>
      <w:pPr>
        <w:pStyle w:val="BlockText"/>
        <w:ind w:left="1800"/>
        <w:rPr>
          <w:b/>
        </w:rPr>
      </w:pPr>
    </w:p>
    <w:p>
      <w:pPr>
        <w:pStyle w:val="BlockText"/>
        <w:numPr>
          <w:ilvl w:val="2"/>
          <w:numId w:val="32"/>
        </w:numPr>
        <w:rPr>
          <w:b/>
        </w:rPr>
      </w:pPr>
      <w:r>
        <w:t>Published (but subsequently withdrawn) proposed Rule 61G4-15.039, which would create a new specialty contractor license for “Industrial Equipment” installation.</w:t>
      </w:r>
    </w:p>
    <w:p>
      <w:pPr>
        <w:pStyle w:val="BlockText"/>
        <w:ind w:left="2520"/>
        <w:rPr>
          <w:b/>
        </w:rPr>
      </w:pPr>
    </w:p>
    <w:p>
      <w:pPr>
        <w:pStyle w:val="BlockText"/>
        <w:numPr>
          <w:ilvl w:val="2"/>
          <w:numId w:val="32"/>
        </w:numPr>
        <w:rPr>
          <w:b/>
        </w:rPr>
      </w:pPr>
      <w:r>
        <w:t>Published proposed Rule 61G4-16.001 to update and add exam questions for Marine Specialty and Irrigation Specialty Contractors.</w:t>
      </w:r>
    </w:p>
    <w:p>
      <w:pPr>
        <w:pStyle w:val="BlockText"/>
        <w:ind w:left="2520"/>
        <w:rPr>
          <w:b/>
        </w:rPr>
      </w:pPr>
    </w:p>
    <w:p>
      <w:pPr>
        <w:pStyle w:val="BlockText"/>
        <w:numPr>
          <w:ilvl w:val="2"/>
          <w:numId w:val="32"/>
        </w:numPr>
        <w:rPr>
          <w:b/>
        </w:rPr>
      </w:pPr>
      <w:r>
        <w:t>Send for review a proposed definition of “structure” as part of Rule 61G4-12.001, as it relates to s. 489.103(6).</w:t>
      </w:r>
    </w:p>
    <w:p>
      <w:pPr>
        <w:pStyle w:val="ListParagraph"/>
        <w:rPr>
          <w:b/>
        </w:rPr>
      </w:pPr>
    </w:p>
    <w:p>
      <w:pPr>
        <w:pStyle w:val="BlockText"/>
        <w:numPr>
          <w:ilvl w:val="2"/>
          <w:numId w:val="32"/>
        </w:numPr>
        <w:rPr>
          <w:b/>
        </w:rPr>
      </w:pPr>
      <w:r>
        <w:t>Send for review proposed Rule 61G4-14.005 setting forth perimeters of public comments to board.</w:t>
      </w:r>
    </w:p>
    <w:p>
      <w:pPr>
        <w:pStyle w:val="BlockText"/>
        <w:rPr>
          <w:b/>
        </w:rPr>
      </w:pPr>
    </w:p>
    <w:p>
      <w:pPr>
        <w:pStyle w:val="Default"/>
        <w:numPr>
          <w:ilvl w:val="1"/>
          <w:numId w:val="32"/>
        </w:numPr>
        <w:rPr>
          <w:rFonts w:asciiTheme="majorHAnsi" w:hAnsiTheme="majorHAnsi" w:cstheme="majorHAnsi"/>
        </w:rPr>
      </w:pPr>
      <w:r>
        <w:rPr>
          <w:rFonts w:asciiTheme="majorHAnsi" w:hAnsiTheme="majorHAnsi" w:cstheme="majorHAnsi"/>
        </w:rPr>
        <w:t>This board has received the following Petitions for Declaratory Statement:</w:t>
      </w:r>
    </w:p>
    <w:p>
      <w:pPr>
        <w:pStyle w:val="Default"/>
        <w:ind w:left="1800"/>
        <w:rPr>
          <w:rFonts w:asciiTheme="majorHAnsi" w:hAnsiTheme="majorHAnsi" w:cstheme="majorHAnsi"/>
        </w:rPr>
      </w:pPr>
    </w:p>
    <w:p>
      <w:pPr>
        <w:pStyle w:val="Default"/>
        <w:numPr>
          <w:ilvl w:val="2"/>
          <w:numId w:val="32"/>
        </w:numPr>
        <w:rPr>
          <w:rFonts w:asciiTheme="majorHAnsi" w:hAnsiTheme="majorHAnsi" w:cstheme="majorHAnsi"/>
        </w:rPr>
      </w:pPr>
      <w:r>
        <w:rPr>
          <w:rFonts w:asciiTheme="majorHAnsi" w:hAnsiTheme="majorHAnsi" w:cstheme="majorHAnsi"/>
          <w:b/>
          <w:bCs/>
        </w:rPr>
        <w:t xml:space="preserve">CHIPMAN SERVICES INC – </w:t>
      </w:r>
      <w:r>
        <w:rPr>
          <w:rFonts w:asciiTheme="majorHAnsi" w:hAnsiTheme="majorHAnsi" w:cstheme="majorHAnsi"/>
        </w:rPr>
        <w:t xml:space="preserve">Petition for Declaratory Statement (Div I &amp; II) </w:t>
      </w:r>
    </w:p>
    <w:p>
      <w:pPr>
        <w:pStyle w:val="Default"/>
        <w:ind w:left="2520"/>
        <w:rPr>
          <w:rFonts w:asciiTheme="majorHAnsi" w:hAnsiTheme="majorHAnsi" w:cstheme="majorHAnsi"/>
        </w:rPr>
      </w:pPr>
    </w:p>
    <w:p>
      <w:pPr>
        <w:pStyle w:val="Default"/>
        <w:numPr>
          <w:ilvl w:val="2"/>
          <w:numId w:val="32"/>
        </w:numPr>
        <w:rPr>
          <w:rFonts w:asciiTheme="majorHAnsi" w:hAnsiTheme="majorHAnsi" w:cstheme="majorHAnsi"/>
        </w:rPr>
      </w:pPr>
      <w:r>
        <w:rPr>
          <w:rFonts w:asciiTheme="majorHAnsi" w:hAnsiTheme="majorHAnsi" w:cstheme="majorHAnsi"/>
          <w:b/>
          <w:bCs/>
        </w:rPr>
        <w:t xml:space="preserve">CITY OF PORT ST. LUCIE BLDG DEPT – </w:t>
      </w:r>
      <w:r>
        <w:rPr>
          <w:rFonts w:asciiTheme="majorHAnsi" w:hAnsiTheme="majorHAnsi" w:cstheme="majorHAnsi"/>
        </w:rPr>
        <w:t xml:space="preserve">Petition for Declaratory Statement (Div I &amp; II) </w:t>
      </w:r>
    </w:p>
    <w:p>
      <w:pPr>
        <w:pStyle w:val="ListParagraph"/>
        <w:rPr>
          <w:rFonts w:asciiTheme="majorHAnsi" w:hAnsiTheme="majorHAnsi" w:cstheme="majorHAnsi"/>
          <w:b/>
          <w:bCs/>
        </w:rPr>
      </w:pPr>
    </w:p>
    <w:p>
      <w:pPr>
        <w:pStyle w:val="Default"/>
        <w:numPr>
          <w:ilvl w:val="2"/>
          <w:numId w:val="32"/>
        </w:numPr>
        <w:rPr>
          <w:rFonts w:asciiTheme="majorHAnsi" w:hAnsiTheme="majorHAnsi" w:cstheme="majorHAnsi"/>
        </w:rPr>
      </w:pPr>
      <w:r>
        <w:rPr>
          <w:rFonts w:asciiTheme="majorHAnsi" w:hAnsiTheme="majorHAnsi" w:cstheme="majorHAnsi"/>
          <w:b/>
          <w:bCs/>
        </w:rPr>
        <w:t xml:space="preserve">GEOSTABILIZATION INTERNATIONAL, LLC – </w:t>
      </w:r>
      <w:r>
        <w:rPr>
          <w:rFonts w:asciiTheme="majorHAnsi" w:hAnsiTheme="majorHAnsi" w:cstheme="majorHAnsi"/>
        </w:rPr>
        <w:t>Petition for Declaratory Statement (Div I &amp; II)</w:t>
      </w:r>
    </w:p>
    <w:p>
      <w:pPr>
        <w:pStyle w:val="ListParagraph"/>
        <w:rPr>
          <w:rFonts w:asciiTheme="majorHAnsi" w:hAnsiTheme="majorHAnsi" w:cstheme="majorHAnsi"/>
          <w:b/>
          <w:bCs/>
        </w:rPr>
      </w:pPr>
    </w:p>
    <w:p>
      <w:pPr>
        <w:pStyle w:val="Default"/>
        <w:numPr>
          <w:ilvl w:val="2"/>
          <w:numId w:val="32"/>
        </w:numPr>
        <w:rPr>
          <w:rFonts w:asciiTheme="majorHAnsi" w:hAnsiTheme="majorHAnsi" w:cstheme="majorHAnsi"/>
        </w:rPr>
      </w:pPr>
      <w:r>
        <w:rPr>
          <w:rFonts w:asciiTheme="majorHAnsi" w:hAnsiTheme="majorHAnsi" w:cstheme="majorHAnsi"/>
          <w:b/>
          <w:bCs/>
        </w:rPr>
        <w:t xml:space="preserve">HIXON, SCOTT – </w:t>
      </w:r>
      <w:r>
        <w:rPr>
          <w:rFonts w:asciiTheme="majorHAnsi" w:hAnsiTheme="majorHAnsi" w:cstheme="majorHAnsi"/>
        </w:rPr>
        <w:t>Petition for Declaratory Statement (Div I &amp; II)</w:t>
      </w:r>
    </w:p>
    <w:p>
      <w:pPr>
        <w:pStyle w:val="ListParagraph"/>
        <w:rPr>
          <w:rFonts w:asciiTheme="majorHAnsi" w:hAnsiTheme="majorHAnsi" w:cstheme="majorHAnsi"/>
          <w:b/>
          <w:bCs/>
        </w:rPr>
      </w:pPr>
    </w:p>
    <w:p>
      <w:pPr>
        <w:pStyle w:val="Default"/>
        <w:numPr>
          <w:ilvl w:val="2"/>
          <w:numId w:val="32"/>
        </w:numPr>
        <w:jc w:val="both"/>
        <w:rPr>
          <w:rFonts w:asciiTheme="majorHAnsi" w:hAnsiTheme="majorHAnsi" w:cstheme="majorHAnsi"/>
        </w:rPr>
      </w:pPr>
      <w:r>
        <w:rPr>
          <w:rFonts w:asciiTheme="majorHAnsi" w:hAnsiTheme="majorHAnsi" w:cstheme="majorHAnsi"/>
          <w:b/>
          <w:bCs/>
        </w:rPr>
        <w:t xml:space="preserve">JONES, CARL – </w:t>
      </w:r>
      <w:r>
        <w:rPr>
          <w:rFonts w:asciiTheme="majorHAnsi" w:hAnsiTheme="majorHAnsi" w:cstheme="majorHAnsi"/>
        </w:rPr>
        <w:t>Petition for Declaratory Statement (Div I &amp; II): Seeking agency’s opinion regarding whether a contractor can submit his or her own site specific drawings, specifications, and plans for permitting single-family and two-family dwellings or any other structure not exceeding 1,200 square feet or one story in height without a licensed engineer or architect signing and sealing the drawings, and whether building officials have a basis to reject such drawings other than for good cause.</w:t>
      </w:r>
    </w:p>
    <w:p>
      <w:pPr>
        <w:pStyle w:val="ListParagraph"/>
        <w:jc w:val="both"/>
        <w:rPr>
          <w:rFonts w:asciiTheme="majorHAnsi" w:hAnsiTheme="majorHAnsi" w:cstheme="majorHAnsi"/>
          <w:b/>
          <w:bCs/>
        </w:rPr>
      </w:pPr>
    </w:p>
    <w:p>
      <w:pPr>
        <w:pStyle w:val="Default"/>
        <w:numPr>
          <w:ilvl w:val="2"/>
          <w:numId w:val="32"/>
        </w:numPr>
        <w:rPr>
          <w:rFonts w:asciiTheme="majorHAnsi" w:hAnsiTheme="majorHAnsi" w:cstheme="majorHAnsi"/>
        </w:rPr>
      </w:pPr>
      <w:r>
        <w:rPr>
          <w:rFonts w:asciiTheme="majorHAnsi" w:hAnsiTheme="majorHAnsi" w:cstheme="majorHAnsi"/>
          <w:b/>
          <w:bCs/>
        </w:rPr>
        <w:t xml:space="preserve">LORAD LLC – </w:t>
      </w:r>
      <w:r>
        <w:rPr>
          <w:rFonts w:asciiTheme="majorHAnsi" w:hAnsiTheme="majorHAnsi" w:cstheme="majorHAnsi"/>
        </w:rPr>
        <w:t xml:space="preserve">Petition for Declaratory Statement (Div I &amp; II) </w:t>
      </w:r>
    </w:p>
    <w:p>
      <w:pPr>
        <w:pStyle w:val="ListParagraph"/>
        <w:rPr>
          <w:rFonts w:asciiTheme="majorHAnsi" w:hAnsiTheme="majorHAnsi" w:cstheme="majorHAnsi"/>
        </w:rPr>
      </w:pPr>
    </w:p>
    <w:p>
      <w:pPr>
        <w:pStyle w:val="Default"/>
        <w:numPr>
          <w:ilvl w:val="2"/>
          <w:numId w:val="32"/>
        </w:numPr>
        <w:rPr>
          <w:rFonts w:asciiTheme="majorHAnsi" w:hAnsiTheme="majorHAnsi" w:cstheme="majorHAnsi"/>
        </w:rPr>
      </w:pPr>
      <w:r>
        <w:rPr>
          <w:rFonts w:asciiTheme="majorHAnsi" w:hAnsiTheme="majorHAnsi" w:cstheme="majorHAnsi"/>
          <w:b/>
        </w:rPr>
        <w:t xml:space="preserve">HORSE ENERGY SERVICES </w:t>
      </w:r>
      <w:r>
        <w:rPr>
          <w:rFonts w:asciiTheme="majorHAnsi" w:hAnsiTheme="majorHAnsi" w:cstheme="majorHAnsi"/>
        </w:rPr>
        <w:t>– Petition for Declaratory Statement: seeking a statement whether they are exempt from having a license for working on natural gas transmission.</w:t>
      </w:r>
    </w:p>
    <w:p>
      <w:pPr>
        <w:pStyle w:val="ListParagraph"/>
        <w:rPr>
          <w:rFonts w:asciiTheme="majorHAnsi" w:hAnsiTheme="majorHAnsi" w:cstheme="majorHAnsi"/>
        </w:rPr>
      </w:pPr>
    </w:p>
    <w:p>
      <w:pPr>
        <w:pStyle w:val="Default"/>
        <w:numPr>
          <w:ilvl w:val="2"/>
          <w:numId w:val="32"/>
        </w:numPr>
        <w:jc w:val="both"/>
        <w:rPr>
          <w:rFonts w:asciiTheme="majorHAnsi" w:hAnsiTheme="majorHAnsi" w:cstheme="majorHAnsi"/>
        </w:rPr>
      </w:pPr>
      <w:r>
        <w:rPr>
          <w:rFonts w:asciiTheme="majorHAnsi" w:hAnsiTheme="majorHAnsi" w:cstheme="majorHAnsi"/>
          <w:b/>
        </w:rPr>
        <w:t>RICKI MORAN</w:t>
      </w:r>
      <w:r>
        <w:rPr>
          <w:rFonts w:asciiTheme="majorHAnsi" w:hAnsiTheme="majorHAnsi" w:cstheme="majorHAnsi"/>
        </w:rPr>
        <w:t xml:space="preserve"> – Petition for Declaratory Statement: seeking a statement as to whether a “Building Contractor” may erect a brand new building.</w:t>
      </w:r>
    </w:p>
    <w:p>
      <w:pPr>
        <w:pStyle w:val="ListParagraph"/>
        <w:rPr>
          <w:rFonts w:asciiTheme="majorHAnsi" w:hAnsiTheme="majorHAnsi" w:cstheme="majorHAnsi"/>
        </w:rPr>
      </w:pPr>
    </w:p>
    <w:p>
      <w:pPr>
        <w:pStyle w:val="Default"/>
        <w:numPr>
          <w:ilvl w:val="2"/>
          <w:numId w:val="32"/>
        </w:numPr>
        <w:jc w:val="both"/>
        <w:rPr>
          <w:rFonts w:asciiTheme="majorHAnsi" w:hAnsiTheme="majorHAnsi" w:cstheme="majorHAnsi"/>
        </w:rPr>
      </w:pPr>
      <w:r>
        <w:rPr>
          <w:rFonts w:asciiTheme="majorHAnsi" w:hAnsiTheme="majorHAnsi" w:cstheme="majorHAnsi"/>
          <w:b/>
        </w:rPr>
        <w:t>MIKE FOSSETT</w:t>
      </w:r>
      <w:r>
        <w:rPr>
          <w:rFonts w:asciiTheme="majorHAnsi" w:hAnsiTheme="majorHAnsi" w:cstheme="majorHAnsi"/>
        </w:rPr>
        <w:t xml:space="preserve"> – Petition for Declaratory Statement: whether a “Pollutant Storage Systems Contractor” can construct or alter aviation hydrant fueling systems as airports that are tied to an above ground storage tank, fuel distribution system.</w:t>
      </w:r>
    </w:p>
    <w:p>
      <w:pPr>
        <w:pStyle w:val="ListParagraph"/>
        <w:rPr>
          <w:rFonts w:asciiTheme="majorHAnsi" w:hAnsiTheme="majorHAnsi" w:cstheme="majorHAnsi"/>
        </w:rPr>
      </w:pPr>
    </w:p>
    <w:p>
      <w:pPr>
        <w:pStyle w:val="Default"/>
        <w:numPr>
          <w:ilvl w:val="1"/>
          <w:numId w:val="32"/>
        </w:numPr>
        <w:rPr>
          <w:rFonts w:asciiTheme="majorHAnsi" w:hAnsiTheme="majorHAnsi" w:cstheme="majorHAnsi"/>
        </w:rPr>
      </w:pPr>
      <w:r>
        <w:rPr>
          <w:rFonts w:asciiTheme="majorHAnsi" w:hAnsiTheme="majorHAnsi" w:cstheme="majorHAnsi"/>
        </w:rPr>
        <w:t>The following Petitions for Declaratory Statement have been disposed of:</w:t>
      </w:r>
      <w:r>
        <w:rPr>
          <w:rFonts w:asciiTheme="majorHAnsi" w:hAnsiTheme="majorHAnsi" w:cstheme="majorHAnsi"/>
        </w:rPr>
        <w:tab/>
      </w:r>
    </w:p>
    <w:p>
      <w:pPr>
        <w:pStyle w:val="Default"/>
        <w:ind w:left="1440"/>
        <w:rPr>
          <w:rFonts w:asciiTheme="majorHAnsi" w:hAnsiTheme="majorHAnsi" w:cstheme="majorHAnsi"/>
        </w:rPr>
      </w:pPr>
    </w:p>
    <w:p>
      <w:pPr>
        <w:pStyle w:val="Default"/>
        <w:numPr>
          <w:ilvl w:val="2"/>
          <w:numId w:val="32"/>
        </w:numPr>
        <w:jc w:val="both"/>
        <w:rPr>
          <w:rFonts w:asciiTheme="majorHAnsi" w:hAnsiTheme="majorHAnsi" w:cstheme="majorHAnsi"/>
        </w:rPr>
      </w:pPr>
      <w:r>
        <w:rPr>
          <w:rFonts w:asciiTheme="majorHAnsi" w:hAnsiTheme="majorHAnsi" w:cstheme="majorHAnsi"/>
          <w:b/>
        </w:rPr>
        <w:t>CITY OF TALLAHASSEE</w:t>
      </w:r>
      <w:r>
        <w:rPr>
          <w:rFonts w:asciiTheme="majorHAnsi" w:hAnsiTheme="majorHAnsi" w:cstheme="majorHAnsi"/>
        </w:rPr>
        <w:t xml:space="preserve"> – Order filed February 3, 2014 that a contractor’s license would be required to replace or repaid an existing backflow preventer on a water service line. </w:t>
      </w:r>
    </w:p>
    <w:p>
      <w:pPr>
        <w:pStyle w:val="Default"/>
        <w:ind w:left="2520"/>
        <w:jc w:val="both"/>
        <w:rPr>
          <w:rFonts w:asciiTheme="majorHAnsi" w:hAnsiTheme="majorHAnsi" w:cstheme="majorHAnsi"/>
        </w:rPr>
      </w:pPr>
    </w:p>
    <w:p>
      <w:pPr>
        <w:pStyle w:val="Default"/>
        <w:numPr>
          <w:ilvl w:val="2"/>
          <w:numId w:val="32"/>
        </w:numPr>
        <w:jc w:val="both"/>
        <w:rPr>
          <w:rFonts w:asciiTheme="majorHAnsi" w:hAnsiTheme="majorHAnsi" w:cstheme="majorHAnsi"/>
        </w:rPr>
      </w:pPr>
      <w:r>
        <w:rPr>
          <w:rFonts w:asciiTheme="majorHAnsi" w:hAnsiTheme="majorHAnsi" w:cstheme="majorHAnsi"/>
          <w:b/>
        </w:rPr>
        <w:t xml:space="preserve">TRANSCAN MECHANICAL, LLC </w:t>
      </w:r>
      <w:r>
        <w:rPr>
          <w:rFonts w:asciiTheme="majorHAnsi" w:hAnsiTheme="majorHAnsi" w:cstheme="majorHAnsi"/>
        </w:rPr>
        <w:t>– Order filed on February 3, 2014, that a subcontractor installing pneumatic tube systems must be a Florida certified licensed plumbing or mechanical contractor.</w:t>
      </w:r>
    </w:p>
    <w:p>
      <w:pPr>
        <w:pStyle w:val="ListParagraph"/>
        <w:jc w:val="both"/>
        <w:rPr>
          <w:rFonts w:asciiTheme="majorHAnsi" w:hAnsiTheme="majorHAnsi" w:cstheme="majorHAnsi"/>
        </w:rPr>
      </w:pPr>
    </w:p>
    <w:p>
      <w:pPr>
        <w:pStyle w:val="Default"/>
        <w:numPr>
          <w:ilvl w:val="2"/>
          <w:numId w:val="32"/>
        </w:numPr>
        <w:jc w:val="both"/>
        <w:rPr>
          <w:rFonts w:asciiTheme="majorHAnsi" w:hAnsiTheme="majorHAnsi" w:cstheme="majorHAnsi"/>
        </w:rPr>
      </w:pPr>
      <w:r>
        <w:rPr>
          <w:rFonts w:asciiTheme="majorHAnsi" w:hAnsiTheme="majorHAnsi" w:cstheme="majorHAnsi"/>
          <w:b/>
        </w:rPr>
        <w:t>SUN STAR ENERGY, LLC</w:t>
      </w:r>
      <w:r>
        <w:rPr>
          <w:rFonts w:asciiTheme="majorHAnsi" w:hAnsiTheme="majorHAnsi" w:cstheme="majorHAnsi"/>
        </w:rPr>
        <w:t xml:space="preserve"> – Oder filed on February 3, 2014 that a plumbing contractor cannot install a solar water hearing system, which includes a flat plate thermal collector, to the roof of a house.</w:t>
      </w:r>
    </w:p>
    <w:p/>
    <w:p>
      <w:pPr>
        <w:pStyle w:val="BlockText"/>
        <w:numPr>
          <w:ilvl w:val="1"/>
          <w:numId w:val="32"/>
        </w:numPr>
      </w:pPr>
      <w:r>
        <w:t>This board has received or disposed of the following Petition for Variance or Waiver (if any):</w:t>
      </w:r>
    </w:p>
    <w:p>
      <w:pPr>
        <w:pStyle w:val="BlockText"/>
        <w:ind w:left="1800"/>
      </w:pPr>
    </w:p>
    <w:p>
      <w:pPr>
        <w:pStyle w:val="BlockText"/>
        <w:numPr>
          <w:ilvl w:val="2"/>
          <w:numId w:val="32"/>
        </w:numPr>
      </w:pPr>
      <w:r>
        <w:rPr>
          <w:b/>
        </w:rPr>
        <w:t>SIGURDIS PERSAUD</w:t>
      </w:r>
      <w:r>
        <w:t xml:space="preserve"> – seeking a waiver of Rule 61G4-16.005, which requires a passing grade shall be valid only for a period of four (4) years.</w:t>
      </w:r>
    </w:p>
    <w:p>
      <w:pPr>
        <w:pStyle w:val="BlockText"/>
        <w:ind w:left="2520"/>
      </w:pPr>
    </w:p>
    <w:p>
      <w:pPr>
        <w:pStyle w:val="BlockText"/>
        <w:numPr>
          <w:ilvl w:val="2"/>
          <w:numId w:val="32"/>
        </w:numPr>
      </w:pPr>
      <w:r>
        <w:rPr>
          <w:b/>
        </w:rPr>
        <w:t>GERALD R. LASCHOBER</w:t>
      </w:r>
      <w:r>
        <w:t xml:space="preserve"> – seeking a waiver of the financial responsibility and stability requirements of Rule 61G4-15.006, so he can reactive his certified roofing contractor license.</w:t>
      </w:r>
    </w:p>
    <w:p>
      <w:pPr>
        <w:pStyle w:val="ListParagraph"/>
      </w:pPr>
    </w:p>
    <w:p>
      <w:pPr>
        <w:pStyle w:val="BlockText"/>
        <w:numPr>
          <w:ilvl w:val="2"/>
          <w:numId w:val="32"/>
        </w:numPr>
      </w:pPr>
      <w:r>
        <w:rPr>
          <w:b/>
        </w:rPr>
        <w:t>NICHOLAS PATSY SALCE</w:t>
      </w:r>
      <w:r>
        <w:t xml:space="preserve"> – seeking a waiver of subsection (1), Rule 61G4-12.011, defining “stories” as well as any board policy denying credit for “work experience” on (1) structures that are not “habitable” and (2) that are exempt from licensing requirements.</w:t>
      </w:r>
    </w:p>
    <w:p>
      <w:pPr>
        <w:pStyle w:val="ListParagraph"/>
      </w:pPr>
    </w:p>
    <w:p>
      <w:pPr>
        <w:pStyle w:val="BlockText"/>
        <w:numPr>
          <w:ilvl w:val="2"/>
          <w:numId w:val="32"/>
        </w:numPr>
      </w:pPr>
      <w:r>
        <w:rPr>
          <w:b/>
        </w:rPr>
        <w:t>ROBERT WILLIAMS</w:t>
      </w:r>
      <w:r>
        <w:t xml:space="preserve"> – Order filed on February 3, 2014, denying variance or waiver of Rule 61G4-16.005, which provides that a passing grade shall be valid for only four (4) years.</w:t>
      </w:r>
    </w:p>
    <w:p>
      <w:pPr>
        <w:pStyle w:val="BlockText"/>
        <w:ind w:left="1800"/>
      </w:pPr>
    </w:p>
    <w:p>
      <w:pPr>
        <w:pStyle w:val="BlockText"/>
        <w:numPr>
          <w:ilvl w:val="0"/>
          <w:numId w:val="32"/>
        </w:numPr>
      </w:pPr>
      <w:r>
        <w:rPr>
          <w:u w:val="single"/>
        </w:rPr>
        <w:t>Electrical Contracting Licensing Board</w:t>
      </w:r>
      <w:r>
        <w:t xml:space="preserve"> (includes both electricians and alarm contractors) – Chapter 489, Part II, FS and 61G6, FAC: </w:t>
      </w:r>
    </w:p>
    <w:p>
      <w:pPr>
        <w:pStyle w:val="BlockText"/>
      </w:pPr>
    </w:p>
    <w:p>
      <w:pPr>
        <w:pStyle w:val="BlockText"/>
        <w:numPr>
          <w:ilvl w:val="1"/>
          <w:numId w:val="32"/>
        </w:numPr>
      </w:pPr>
      <w:r>
        <w:t xml:space="preserve">This board has proposed adopted, repealed or amended the following rules (if any): </w:t>
      </w:r>
    </w:p>
    <w:p>
      <w:pPr>
        <w:pStyle w:val="BlockText"/>
        <w:ind w:left="1800"/>
      </w:pPr>
    </w:p>
    <w:p>
      <w:pPr>
        <w:pStyle w:val="BlockText"/>
        <w:numPr>
          <w:ilvl w:val="1"/>
          <w:numId w:val="32"/>
        </w:numPr>
      </w:pPr>
      <w:r>
        <w:t>This board has received or disposed of the following Petitions for Declaratory Statement (if any): None noticed.</w:t>
      </w:r>
    </w:p>
    <w:p>
      <w:pPr>
        <w:pStyle w:val="BlockText"/>
        <w:ind w:left="1800"/>
      </w:pPr>
    </w:p>
    <w:p>
      <w:pPr>
        <w:pStyle w:val="BlockText"/>
        <w:numPr>
          <w:ilvl w:val="1"/>
          <w:numId w:val="32"/>
        </w:numPr>
      </w:pPr>
      <w:r>
        <w:t>This board has received or disposed of the following Petitions for Variance or Waiver (if any): None noticed.</w:t>
      </w:r>
    </w:p>
    <w:p>
      <w:pPr>
        <w:pStyle w:val="BlockText"/>
      </w:pPr>
    </w:p>
    <w:p>
      <w:pPr>
        <w:pStyle w:val="BlockText"/>
        <w:numPr>
          <w:ilvl w:val="0"/>
          <w:numId w:val="32"/>
        </w:numPr>
      </w:pPr>
      <w:r>
        <w:rPr>
          <w:u w:val="single"/>
        </w:rPr>
        <w:t>Board of Architecture and Interior Design</w:t>
      </w:r>
      <w:r>
        <w:t xml:space="preserve"> – Chapter 481, Part I, FS and 61G1 FAC: </w:t>
      </w:r>
    </w:p>
    <w:p>
      <w:pPr>
        <w:pStyle w:val="BlockText"/>
        <w:ind w:left="1080"/>
      </w:pPr>
    </w:p>
    <w:p>
      <w:pPr>
        <w:pStyle w:val="BlockText"/>
        <w:numPr>
          <w:ilvl w:val="1"/>
          <w:numId w:val="32"/>
        </w:numPr>
      </w:pPr>
      <w:r>
        <w:t>This board has proposed, adopted, repealed or amended the following rules (if any):</w:t>
      </w:r>
    </w:p>
    <w:p>
      <w:pPr>
        <w:pStyle w:val="BlockText"/>
        <w:ind w:left="1800"/>
      </w:pPr>
    </w:p>
    <w:p>
      <w:pPr>
        <w:pStyle w:val="BlockText"/>
        <w:numPr>
          <w:ilvl w:val="1"/>
          <w:numId w:val="32"/>
        </w:numPr>
      </w:pPr>
      <w:r>
        <w:t>This board has received or disposed of the following Petitions for Declaratory Statement (if any): None noticed.</w:t>
      </w:r>
    </w:p>
    <w:p>
      <w:pPr>
        <w:pStyle w:val="ListParagraph"/>
      </w:pPr>
    </w:p>
    <w:p>
      <w:pPr>
        <w:pStyle w:val="BlockText"/>
        <w:numPr>
          <w:ilvl w:val="1"/>
          <w:numId w:val="32"/>
        </w:numPr>
      </w:pPr>
      <w:r>
        <w:t>This board has received or disposed of the following Petitions for Variance or Waiver (if any): None noticed.</w:t>
      </w:r>
    </w:p>
    <w:p>
      <w:pPr>
        <w:pStyle w:val="BlockText"/>
      </w:pPr>
    </w:p>
    <w:p>
      <w:pPr>
        <w:pStyle w:val="BlockText"/>
        <w:numPr>
          <w:ilvl w:val="0"/>
          <w:numId w:val="32"/>
        </w:numPr>
      </w:pPr>
      <w:r>
        <w:rPr>
          <w:u w:val="single"/>
        </w:rPr>
        <w:t>Board of Landscape Architecture</w:t>
      </w:r>
      <w:r>
        <w:t xml:space="preserve"> – Chapter 481, Part II, FS and 61G10 FAC: </w:t>
      </w:r>
    </w:p>
    <w:p/>
    <w:p>
      <w:pPr>
        <w:ind w:left="720" w:firstLine="720"/>
      </w:pPr>
      <w:r>
        <w:t>(Nothing to report)</w:t>
      </w:r>
    </w:p>
    <w:p/>
    <w:p>
      <w:pPr>
        <w:pStyle w:val="BlockText"/>
        <w:numPr>
          <w:ilvl w:val="0"/>
          <w:numId w:val="32"/>
        </w:numPr>
      </w:pPr>
      <w:r>
        <w:rPr>
          <w:u w:val="single"/>
        </w:rPr>
        <w:t>Board of Professional Engineers</w:t>
      </w:r>
      <w:r>
        <w:t xml:space="preserve"> – Chapter 471, FS and 61G15 FAC: </w:t>
      </w:r>
    </w:p>
    <w:p>
      <w:pPr>
        <w:pStyle w:val="BlockText"/>
      </w:pPr>
    </w:p>
    <w:p>
      <w:pPr>
        <w:pStyle w:val="BlockText"/>
        <w:numPr>
          <w:ilvl w:val="1"/>
          <w:numId w:val="32"/>
        </w:numPr>
      </w:pPr>
      <w:r>
        <w:t>This board has proposed adopted, repealed or amended the following rules (if any): None noticed.</w:t>
      </w:r>
    </w:p>
    <w:p>
      <w:pPr>
        <w:pStyle w:val="BlockText"/>
        <w:ind w:left="1800"/>
      </w:pPr>
    </w:p>
    <w:p>
      <w:pPr>
        <w:pStyle w:val="BlockText"/>
        <w:numPr>
          <w:ilvl w:val="1"/>
          <w:numId w:val="32"/>
        </w:numPr>
      </w:pPr>
      <w:r>
        <w:t>This board has received or disposed of the following Petitions for Declaratory Statement (if any): None noticed.</w:t>
      </w:r>
    </w:p>
    <w:p>
      <w:pPr>
        <w:pStyle w:val="BlockText"/>
        <w:ind w:left="1800"/>
      </w:pPr>
    </w:p>
    <w:p>
      <w:pPr>
        <w:pStyle w:val="BlockText"/>
        <w:numPr>
          <w:ilvl w:val="1"/>
          <w:numId w:val="32"/>
        </w:numPr>
      </w:pPr>
      <w:r>
        <w:t>This board has received or disposed of the following Petitions for Variance or Waiver (if any): None noticed.</w:t>
      </w:r>
    </w:p>
    <w:p>
      <w:pPr>
        <w:pStyle w:val="BlockText"/>
      </w:pPr>
      <w:r>
        <w:tab/>
      </w:r>
    </w:p>
    <w:p>
      <w:pPr>
        <w:pStyle w:val="BlockText"/>
        <w:numPr>
          <w:ilvl w:val="0"/>
          <w:numId w:val="32"/>
        </w:numPr>
      </w:pPr>
      <w:r>
        <w:rPr>
          <w:u w:val="single"/>
        </w:rPr>
        <w:t>Building Code Administrators and Inspectors</w:t>
      </w:r>
      <w:r>
        <w:t xml:space="preserve"> Board – Chapter 468, Part XII and 61G19 FAC: </w:t>
      </w:r>
    </w:p>
    <w:p>
      <w:pPr>
        <w:pStyle w:val="BlockText"/>
        <w:ind w:left="1440"/>
      </w:pPr>
    </w:p>
    <w:p>
      <w:pPr>
        <w:pStyle w:val="BlockText"/>
        <w:numPr>
          <w:ilvl w:val="1"/>
          <w:numId w:val="32"/>
        </w:numPr>
      </w:pPr>
      <w:r>
        <w:t>This board has proposed, adopted, repealed or amended the following rules (if any): Rule 61G19-2.008 regarding public comments to board.</w:t>
      </w:r>
    </w:p>
    <w:p>
      <w:pPr>
        <w:pStyle w:val="BlockText"/>
      </w:pPr>
    </w:p>
    <w:p>
      <w:pPr>
        <w:pStyle w:val="BlockText"/>
        <w:numPr>
          <w:ilvl w:val="1"/>
          <w:numId w:val="32"/>
        </w:numPr>
      </w:pPr>
      <w:r>
        <w:t>This board has received or disposed of the following Petitions for Declaratory Statement (if any): None noticed.</w:t>
      </w:r>
    </w:p>
    <w:p>
      <w:pPr>
        <w:pStyle w:val="BlockText"/>
        <w:ind w:left="1800"/>
      </w:pPr>
    </w:p>
    <w:p>
      <w:pPr>
        <w:pStyle w:val="BlockText"/>
        <w:numPr>
          <w:ilvl w:val="1"/>
          <w:numId w:val="32"/>
        </w:numPr>
      </w:pPr>
      <w:r>
        <w:t>This board has received or disposed of the following Petitions for Variance or Waiver (if any): None noticed.</w:t>
      </w:r>
    </w:p>
    <w:p>
      <w:pPr>
        <w:pStyle w:val="BlockText"/>
      </w:pPr>
    </w:p>
    <w:p>
      <w:pPr>
        <w:pStyle w:val="BlockText"/>
        <w:numPr>
          <w:ilvl w:val="0"/>
          <w:numId w:val="32"/>
        </w:numPr>
      </w:pPr>
      <w:r>
        <w:rPr>
          <w:u w:val="single"/>
        </w:rPr>
        <w:lastRenderedPageBreak/>
        <w:t>Florida Building Commission</w:t>
      </w:r>
      <w:r>
        <w:rPr>
          <w:rStyle w:val="FootnoteReference"/>
          <w:u w:val="single"/>
        </w:rPr>
        <w:footnoteReference w:id="1"/>
      </w:r>
      <w:r>
        <w:t xml:space="preserve"> – Chapter 553, Part IV and Chapter 61G20, FAC): </w:t>
      </w:r>
    </w:p>
    <w:p>
      <w:pPr>
        <w:pStyle w:val="BlockText"/>
        <w:ind w:left="1080"/>
      </w:pPr>
    </w:p>
    <w:p>
      <w:pPr>
        <w:pStyle w:val="BlockText"/>
        <w:numPr>
          <w:ilvl w:val="1"/>
          <w:numId w:val="32"/>
        </w:numPr>
      </w:pPr>
      <w:r>
        <w:t>This board has proposed, adopted, repealed or amended the following rules (if any):</w:t>
      </w:r>
    </w:p>
    <w:p>
      <w:pPr>
        <w:pStyle w:val="BlockText"/>
        <w:ind w:left="1800"/>
      </w:pPr>
    </w:p>
    <w:p>
      <w:pPr>
        <w:pStyle w:val="BlockText"/>
        <w:numPr>
          <w:ilvl w:val="2"/>
          <w:numId w:val="32"/>
        </w:numPr>
      </w:pPr>
      <w:r>
        <w:t>Rule 61G20-3, regarding product approvals.</w:t>
      </w:r>
    </w:p>
    <w:p>
      <w:pPr>
        <w:pStyle w:val="BlockText"/>
        <w:ind w:left="2520"/>
      </w:pPr>
    </w:p>
    <w:p>
      <w:pPr>
        <w:pStyle w:val="BlockText"/>
        <w:numPr>
          <w:ilvl w:val="2"/>
          <w:numId w:val="32"/>
        </w:numPr>
      </w:pPr>
      <w:r>
        <w:t>Rule 61G20-6, regarding building code training program.</w:t>
      </w:r>
    </w:p>
    <w:p>
      <w:pPr>
        <w:pStyle w:val="BlockText"/>
        <w:ind w:left="1800"/>
      </w:pPr>
    </w:p>
    <w:p>
      <w:pPr>
        <w:pStyle w:val="BlockText"/>
        <w:numPr>
          <w:ilvl w:val="1"/>
          <w:numId w:val="32"/>
        </w:numPr>
      </w:pPr>
      <w:r>
        <w:t>This board has received or disposed of the following Petitions for Declaratory Statement: Evolution Pools &amp; Construction Services, Inc., seeking clarification as to whether a baptismal pool is considered a commercial or residential pool for purposes of barrier requirements.</w:t>
      </w:r>
    </w:p>
    <w:p>
      <w:pPr>
        <w:pStyle w:val="BlockText"/>
        <w:ind w:left="1800"/>
      </w:pPr>
    </w:p>
    <w:p>
      <w:pPr>
        <w:pStyle w:val="BlockText"/>
        <w:rPr>
          <w:b/>
        </w:rPr>
      </w:pPr>
      <w:r>
        <w:rPr>
          <w:b/>
          <w:u w:val="single"/>
        </w:rPr>
        <w:t>CODE NOTE</w:t>
      </w:r>
      <w:r>
        <w:rPr>
          <w:b/>
        </w:rPr>
        <w:t>: Due to a delay in adoption of the latest NFPA fire codes, the effective date of the next Florida Building has been postponed until December 31, 201</w:t>
      </w:r>
      <w:r>
        <w:rPr>
          <w:b/>
          <w:i/>
          <w:u w:val="single"/>
        </w:rPr>
        <w:t xml:space="preserve">4 </w:t>
      </w:r>
      <w:r>
        <w:rPr>
          <w:b/>
        </w:rPr>
        <w:t>and will be entitled "Florida Building Code 5</w:t>
      </w:r>
      <w:r>
        <w:rPr>
          <w:b/>
          <w:vertAlign w:val="superscript"/>
        </w:rPr>
        <w:t>th</w:t>
      </w:r>
      <w:r>
        <w:rPr>
          <w:b/>
        </w:rPr>
        <w:t xml:space="preserve"> Edition (2014)."</w:t>
      </w:r>
    </w:p>
    <w:p>
      <w:pPr>
        <w:pStyle w:val="BlockText"/>
        <w:rPr>
          <w:b/>
        </w:rPr>
      </w:pPr>
    </w:p>
    <w:p>
      <w:pPr>
        <w:pStyle w:val="BlockText"/>
        <w:ind w:firstLine="720"/>
      </w:pPr>
      <w:r>
        <w:t xml:space="preserve">8. </w:t>
      </w:r>
      <w:r>
        <w:rPr>
          <w:u w:val="single"/>
        </w:rPr>
        <w:t>DBPR/Home Inspectors:</w:t>
      </w:r>
      <w:r>
        <w:t xml:space="preserve"> The agency has published notice of rulemaking pursuant to Chapter 61-31, Sections .101-.702 F. A. C., regarding licensing of mold related services.</w:t>
      </w:r>
    </w:p>
    <w:p>
      <w:pPr>
        <w:pStyle w:val="BlockText"/>
      </w:pPr>
    </w:p>
    <w:p>
      <w:pPr>
        <w:pStyle w:val="BlockText"/>
        <w:ind w:left="720"/>
      </w:pPr>
      <w:r>
        <w:t xml:space="preserve">9. </w:t>
      </w:r>
      <w:r>
        <w:rPr>
          <w:u w:val="single"/>
        </w:rPr>
        <w:t>Board of Professional Geologists:</w:t>
      </w:r>
      <w:r>
        <w:t xml:space="preserve"> Chapter 492, Florida Statutes, and Rule Chapter 61G16, F.A.C.: Nothing to report.</w:t>
      </w:r>
    </w:p>
    <w:p>
      <w:pPr>
        <w:pStyle w:val="BlockText"/>
        <w:ind w:left="720"/>
      </w:pPr>
    </w:p>
    <w:p>
      <w:pPr>
        <w:pStyle w:val="BlockText"/>
        <w:ind w:left="1080"/>
        <w:rPr>
          <w:rStyle w:val="text"/>
          <w:rFonts w:ascii="Verdana" w:hAnsi="Verdana"/>
          <w:color w:val="000080"/>
          <w:sz w:val="20"/>
          <w:szCs w:val="20"/>
        </w:rPr>
      </w:pPr>
      <w:r>
        <w:rPr>
          <w:rStyle w:val="text"/>
          <w:rFonts w:ascii="Verdana" w:hAnsi="Verdana"/>
          <w:color w:val="000080"/>
          <w:sz w:val="20"/>
          <w:szCs w:val="20"/>
        </w:rPr>
        <w:t>“Geology” means the science which includes the treatment of the earth and its origin and history, in general; the investigation of the earth’s crust and interior and the solids and fluids, including all surface and underground waters, and gases which compose the earth; the study of the natural agents, forces, and processes which cause changes in the earth; and the utilization of this knowledge of the earth and its solids, fluids, and gases, and their collective properties and processes, for the benefit of humankind.</w:t>
      </w:r>
    </w:p>
    <w:p>
      <w:pPr>
        <w:pStyle w:val="BlockText"/>
      </w:pPr>
    </w:p>
    <w:p>
      <w:pPr>
        <w:pStyle w:val="BlockText"/>
        <w:ind w:left="720"/>
      </w:pPr>
      <w:r>
        <w:t>10</w:t>
      </w:r>
      <w:r>
        <w:rPr>
          <w:u w:val="single"/>
        </w:rPr>
        <w:t>. Division of Hotels and Restaurants: Elevator Safety</w:t>
      </w:r>
      <w:r>
        <w:t xml:space="preserve"> - Chapter 399, Florida Statutes (which excludes private residential elevators), and Chapter 61C-5, F.A.C. Nothing to report.</w:t>
      </w:r>
    </w:p>
    <w:p>
      <w:pPr>
        <w:pStyle w:val="BlockText"/>
        <w:ind w:left="720"/>
      </w:pPr>
    </w:p>
    <w:p>
      <w:pPr>
        <w:pStyle w:val="BlockText"/>
        <w:ind w:left="810" w:hanging="810"/>
      </w:pPr>
      <w:r>
        <w:rPr>
          <w:b/>
          <w:u w:val="single"/>
        </w:rPr>
        <w:t>NEW</w:t>
      </w:r>
      <w:r>
        <w:t xml:space="preserve">   11. </w:t>
      </w:r>
      <w:r>
        <w:rPr>
          <w:u w:val="single"/>
        </w:rPr>
        <w:t>Asbestos Consultants</w:t>
      </w:r>
      <w:r>
        <w:t xml:space="preserve"> – Chapter 469, Florida Statutes, and Chapter 61E1, F.A.C.: Nothing to report</w:t>
      </w:r>
    </w:p>
    <w:p>
      <w:pPr>
        <w:pStyle w:val="BlockText"/>
      </w:pPr>
    </w:p>
    <w:p>
      <w:pPr>
        <w:pStyle w:val="BlockText"/>
        <w:rPr>
          <w:b/>
        </w:rPr>
      </w:pPr>
      <w:r>
        <w:rPr>
          <w:b/>
        </w:rPr>
        <w:t xml:space="preserve">B. Department of Environmental Protection: </w:t>
      </w:r>
    </w:p>
    <w:p>
      <w:pPr>
        <w:pStyle w:val="BlockText"/>
        <w:rPr>
          <w:b/>
        </w:rPr>
      </w:pPr>
    </w:p>
    <w:p>
      <w:pPr>
        <w:pStyle w:val="BlockText"/>
        <w:ind w:left="720"/>
      </w:pPr>
      <w:r>
        <w:lastRenderedPageBreak/>
        <w:t>1. Water Well Contractors: Chapter 373, Part II (licensing and regulation): House Bill 999, effective July 1, 2013, will repeal Rule 62-531-340(1)(d), which is a $14 per CEU fee for license renewal.</w:t>
      </w:r>
    </w:p>
    <w:p>
      <w:pPr>
        <w:pStyle w:val="BlockText"/>
      </w:pPr>
    </w:p>
    <w:p>
      <w:pPr>
        <w:pStyle w:val="BlockText"/>
      </w:pPr>
      <w:r>
        <w:tab/>
        <w:t>2. Consumptive Use Permits: Chapter 373, Part II: Noting to report.</w:t>
      </w:r>
    </w:p>
    <w:p>
      <w:pPr>
        <w:pStyle w:val="BlockText"/>
        <w:ind w:left="720"/>
      </w:pPr>
    </w:p>
    <w:p>
      <w:pPr>
        <w:pStyle w:val="BlockText"/>
        <w:rPr>
          <w:b/>
        </w:rPr>
      </w:pPr>
      <w:r>
        <w:rPr>
          <w:b/>
        </w:rPr>
        <w:t>C. Department of Health</w:t>
      </w:r>
      <w:r>
        <w:t xml:space="preserve">: </w:t>
      </w:r>
      <w:r>
        <w:rPr>
          <w:b/>
        </w:rPr>
        <w:t xml:space="preserve">Water Quality/Septic Tanks – Chapter 381 and 64E FAC: Chapter 2012-184, Laws of Florida, </w:t>
      </w:r>
      <w:r>
        <w:rPr>
          <w:b/>
          <w:u w:val="single"/>
        </w:rPr>
        <w:t>effective April 27, 2012</w:t>
      </w:r>
      <w:r>
        <w:rPr>
          <w:b/>
        </w:rPr>
        <w:t xml:space="preserve">, made the following changes: </w:t>
      </w:r>
    </w:p>
    <w:p>
      <w:pPr>
        <w:pStyle w:val="ListParagraph"/>
      </w:pPr>
    </w:p>
    <w:p>
      <w:pPr>
        <w:pStyle w:val="BlockText"/>
        <w:ind w:left="720"/>
      </w:pPr>
      <w:r>
        <w:t>Reminder: The Department of Health’s authority for plan review and approval of swimming pools and bathing pools was repealed and given to local government in accordance with the Florida Building Code.</w:t>
      </w:r>
    </w:p>
    <w:p>
      <w:pPr>
        <w:pStyle w:val="BlockText"/>
        <w:ind w:left="720"/>
        <w:rPr>
          <w:b/>
        </w:rPr>
      </w:pPr>
    </w:p>
    <w:p>
      <w:pPr>
        <w:pStyle w:val="BlockText"/>
        <w:ind w:left="720"/>
        <w:rPr>
          <w:b/>
        </w:rPr>
      </w:pPr>
      <w:r>
        <w:t>Reminder: Section 381.0065(5), requiring periodic inspections of on-site sewerage disposal systems (“septic tanks”) has been repealed, and authority to impose such requirements was authorized for local governments whose boundaries include a “first magnitude spring,” as defined in the bill. None of these 19 local jurisdictions have opted to implement such a program at this time.</w:t>
      </w:r>
    </w:p>
    <w:p>
      <w:pPr>
        <w:pStyle w:val="ListParagraph"/>
      </w:pPr>
    </w:p>
    <w:p>
      <w:pPr>
        <w:pStyle w:val="BlockText"/>
      </w:pPr>
      <w:r>
        <w:rPr>
          <w:b/>
        </w:rPr>
        <w:t>D. Department of Financial Services</w:t>
      </w:r>
      <w:r>
        <w:t xml:space="preserve">: </w:t>
      </w:r>
    </w:p>
    <w:p>
      <w:pPr>
        <w:pStyle w:val="BlockText"/>
        <w:ind w:left="720"/>
      </w:pPr>
    </w:p>
    <w:p>
      <w:pPr>
        <w:pStyle w:val="BlockText"/>
        <w:ind w:firstLine="360"/>
      </w:pPr>
      <w:r>
        <w:t>1. Boiler Safety Act - Chapter 554, F. S., and Chapter 69A-51, F.A.C.: Nothing to report.</w:t>
      </w:r>
    </w:p>
    <w:p>
      <w:pPr>
        <w:pStyle w:val="BlockText"/>
        <w:ind w:left="720"/>
      </w:pPr>
    </w:p>
    <w:p>
      <w:pPr>
        <w:pStyle w:val="BlockText"/>
        <w:ind w:firstLine="360"/>
      </w:pPr>
      <w:r>
        <w:t>2. Workers’ Compensation Insurance – Chapter 440 and 69L FAC:]</w:t>
      </w:r>
    </w:p>
    <w:p>
      <w:pPr>
        <w:pStyle w:val="BlockText"/>
        <w:ind w:firstLine="360"/>
      </w:pPr>
    </w:p>
    <w:p>
      <w:pPr>
        <w:pStyle w:val="BlockText"/>
        <w:ind w:left="1080"/>
      </w:pPr>
      <w:r>
        <w:rPr>
          <w:b/>
          <w:u w:val="single"/>
        </w:rPr>
        <w:t>NOTICE:</w:t>
      </w:r>
      <w:r>
        <w:t xml:space="preserve"> As of </w:t>
      </w:r>
      <w:r>
        <w:rPr>
          <w:u w:val="single"/>
        </w:rPr>
        <w:t>July 1, 2012</w:t>
      </w:r>
      <w:r>
        <w:t xml:space="preserve">, applications for exemption from workers’ compensation insurance can be made on-line at </w:t>
      </w:r>
      <w:r>
        <w:rPr>
          <w:u w:val="single"/>
        </w:rPr>
        <w:t>myfloridacfo.com/wc</w:t>
      </w:r>
      <w:r>
        <w:t>. Such applications will no longer have to be notarized; while applicants will be required to provide Florida driver’s license number or Florida identification card and date of birth, copies of ownership documents will no longer be required. However, for construction business, the law regarding exemptions continues to allow up to three (3) individuals to be exempt at the same time, provided that each one owns at least 10% of the business.</w:t>
      </w:r>
    </w:p>
    <w:p>
      <w:pPr>
        <w:pStyle w:val="BlockText"/>
        <w:ind w:left="360"/>
      </w:pPr>
    </w:p>
    <w:p>
      <w:pPr>
        <w:pStyle w:val="BlockText"/>
        <w:ind w:left="1080"/>
      </w:pPr>
      <w:r>
        <w:rPr>
          <w:b/>
          <w:u w:val="single"/>
        </w:rPr>
        <w:t>Warning:</w:t>
      </w:r>
      <w:r>
        <w:t xml:space="preserve"> Insurance carriers and their representative joint underwriter association appear to now be checking for policies or exemptions issued to recently qualified businesses, and filing complaints with DBPR for those who do not have either. While the current licensure application forms purport to require such insurance coverage within thirty (30) days of licensure, there does not appear to be any statutory requirement for WC coverage until a business has a payroll.</w:t>
      </w:r>
    </w:p>
    <w:p>
      <w:pPr>
        <w:pStyle w:val="BlockText"/>
        <w:ind w:left="360"/>
      </w:pPr>
    </w:p>
    <w:p>
      <w:pPr>
        <w:pStyle w:val="BlockText"/>
        <w:ind w:left="1080"/>
      </w:pPr>
      <w:r>
        <w:rPr>
          <w:b/>
          <w:u w:val="single"/>
        </w:rPr>
        <w:t>Important Note:</w:t>
      </w:r>
      <w:r>
        <w:t xml:space="preserve"> You can check compliance with worker’s compensation insurance requirements (coverage or exemptions) by name of company, federal employer ID number, employer policy number, and exemption holder name or exemption holder SS number at </w:t>
      </w:r>
      <w:r>
        <w:rPr>
          <w:i/>
          <w:u w:val="single"/>
        </w:rPr>
        <w:t>https//:secure.fldfs.com/WCAPPA/Compliance</w:t>
      </w:r>
      <w:r>
        <w:t>.</w:t>
      </w:r>
    </w:p>
    <w:p>
      <w:pPr>
        <w:pStyle w:val="BlockText"/>
        <w:ind w:left="1080"/>
      </w:pPr>
    </w:p>
    <w:p>
      <w:pPr>
        <w:pStyle w:val="BlockText"/>
        <w:ind w:left="360"/>
      </w:pPr>
      <w:r>
        <w:t xml:space="preserve">3. Office of State Fire Marshal - Chapter 633, Florida Statutes and Chapter 69A, F.C.A.: </w:t>
      </w:r>
    </w:p>
    <w:p>
      <w:pPr>
        <w:pStyle w:val="BlockText"/>
        <w:ind w:left="360"/>
      </w:pPr>
    </w:p>
    <w:p>
      <w:pPr>
        <w:pStyle w:val="BlockText"/>
        <w:ind w:left="360"/>
      </w:pPr>
      <w:r>
        <w:lastRenderedPageBreak/>
        <w:t>Reminder: Rule 69A-60.003, amended effective May 1, 2013, adopts NPR 1, the Fire Code, Florida 2009 edition (as amended 3/2013 to add Section 18.4.1.3 to Section 18.4 - Fire Flow Requirements for Buildings).</w:t>
      </w:r>
    </w:p>
    <w:p>
      <w:pPr>
        <w:pStyle w:val="BlockText"/>
        <w:ind w:left="360"/>
      </w:pPr>
    </w:p>
    <w:p>
      <w:pPr>
        <w:pStyle w:val="BlockText"/>
        <w:ind w:left="360"/>
      </w:pPr>
      <w:r>
        <w:rPr>
          <w:u w:val="single"/>
        </w:rPr>
        <w:t>Note:</w:t>
      </w:r>
      <w:r>
        <w:t xml:space="preserve"> Section 1 of Senate Bill 1122, effective July 1, 2013 creates a new section 633.0215(6)(b) which EXMEPTS certain structures from application of the Florida Fire Prevention Code.</w:t>
      </w:r>
    </w:p>
    <w:p>
      <w:pPr>
        <w:pStyle w:val="BlockText"/>
        <w:rPr>
          <w:b/>
          <w:i/>
          <w:u w:val="single"/>
        </w:rPr>
      </w:pPr>
    </w:p>
    <w:p>
      <w:pPr>
        <w:pStyle w:val="BlockText"/>
        <w:rPr>
          <w:b/>
          <w:i/>
          <w:u w:val="single"/>
        </w:rPr>
      </w:pPr>
      <w:r>
        <w:rPr>
          <w:b/>
          <w:i/>
          <w:u w:val="single"/>
        </w:rPr>
        <w:t>ALERT: As a result of 2013 legislation, some panhandle development permits are eligible for 6-month extension due to Tropical Storm Karen.</w:t>
      </w:r>
    </w:p>
    <w:p>
      <w:pPr>
        <w:pStyle w:val="BlockText"/>
        <w:rPr>
          <w:b/>
          <w:u w:val="single"/>
        </w:rPr>
      </w:pPr>
    </w:p>
    <w:p>
      <w:pPr>
        <w:pStyle w:val="BlockText"/>
        <w:rPr>
          <w:b/>
          <w:u w:val="single"/>
        </w:rPr>
      </w:pPr>
    </w:p>
    <w:p>
      <w:pPr>
        <w:pStyle w:val="BlockText"/>
      </w:pPr>
      <w:r>
        <w:rPr>
          <w:b/>
          <w:u w:val="single"/>
        </w:rPr>
        <w:t>Legislative Action:</w:t>
      </w:r>
      <w:r>
        <w:t xml:space="preserve"> The regularly scheduled legislative session for 2014 will begin on March 4, 2014 for sixty (60) calendar days, with a scheduled ending on May 2</w:t>
      </w:r>
      <w:r>
        <w:rPr>
          <w:vertAlign w:val="superscript"/>
        </w:rPr>
        <w:t>nd</w:t>
      </w:r>
      <w:r>
        <w:t>. To date, the following construction related bills have been filed:</w:t>
      </w:r>
    </w:p>
    <w:p>
      <w:pPr>
        <w:pStyle w:val="BlockText"/>
      </w:pPr>
    </w:p>
    <w:p>
      <w:pPr>
        <w:pStyle w:val="BlockText"/>
      </w:pPr>
    </w:p>
    <w:tbl>
      <w:tblPr>
        <w:tblW w:w="0" w:type="auto"/>
        <w:tblCellSpacing w:w="15" w:type="dxa"/>
        <w:tblCellMar>
          <w:top w:w="15" w:type="dxa"/>
          <w:left w:w="15" w:type="dxa"/>
          <w:bottom w:w="15" w:type="dxa"/>
          <w:right w:w="15" w:type="dxa"/>
        </w:tblCellMar>
        <w:tblLook w:val="04A0"/>
      </w:tblPr>
      <w:tblGrid>
        <w:gridCol w:w="648"/>
        <w:gridCol w:w="2631"/>
        <w:gridCol w:w="1531"/>
        <w:gridCol w:w="4847"/>
        <w:gridCol w:w="81"/>
      </w:tblGrid>
      <w:tr>
        <w:trPr>
          <w:tblCellSpacing w:w="15" w:type="dxa"/>
        </w:trPr>
        <w:tc>
          <w:tcPr>
            <w:tcW w:w="0" w:type="auto"/>
            <w:vAlign w:val="center"/>
            <w:hideMark/>
          </w:tcPr>
          <w:p>
            <w:pPr>
              <w:jc w:val="center"/>
              <w:rPr>
                <w:rFonts w:eastAsia="Times New Roman" w:cs="Times New Roman"/>
                <w:b/>
                <w:bCs/>
              </w:rPr>
            </w:pPr>
            <w:hyperlink r:id="rId7" w:history="1">
              <w:r>
                <w:rPr>
                  <w:rFonts w:eastAsia="Times New Roman" w:cs="Times New Roman"/>
                  <w:b/>
                  <w:bCs/>
                  <w:color w:val="0000FF"/>
                  <w:u w:val="single"/>
                </w:rPr>
                <w:t>HB 0147</w:t>
              </w:r>
            </w:hyperlink>
          </w:p>
        </w:tc>
        <w:tc>
          <w:tcPr>
            <w:tcW w:w="0" w:type="auto"/>
            <w:vAlign w:val="center"/>
            <w:hideMark/>
          </w:tcPr>
          <w:p>
            <w:pPr>
              <w:rPr>
                <w:rFonts w:eastAsia="Times New Roman" w:cs="Times New Roman"/>
              </w:rPr>
            </w:pPr>
            <w:r>
              <w:rPr>
                <w:rFonts w:eastAsia="Times New Roman" w:cs="Times New Roman"/>
              </w:rPr>
              <w:t>Concrete Masonry Education</w:t>
            </w:r>
          </w:p>
        </w:tc>
        <w:tc>
          <w:tcPr>
            <w:tcW w:w="0" w:type="auto"/>
            <w:vAlign w:val="center"/>
            <w:hideMark/>
          </w:tcPr>
          <w:p>
            <w:pPr>
              <w:rPr>
                <w:rFonts w:eastAsia="Times New Roman" w:cs="Times New Roman"/>
              </w:rPr>
            </w:pPr>
            <w:r>
              <w:rPr>
                <w:rFonts w:eastAsia="Times New Roman" w:cs="Times New Roman"/>
              </w:rPr>
              <w:t xml:space="preserve">Caldwell </w:t>
            </w:r>
          </w:p>
        </w:tc>
        <w:tc>
          <w:tcPr>
            <w:tcW w:w="0" w:type="auto"/>
            <w:vAlign w:val="center"/>
            <w:hideMark/>
          </w:tcPr>
          <w:p>
            <w:pPr>
              <w:rPr>
                <w:rFonts w:eastAsia="Times New Roman" w:cs="Times New Roman"/>
              </w:rPr>
            </w:pPr>
            <w:r>
              <w:rPr>
                <w:rFonts w:eastAsia="Times New Roman" w:cs="Times New Roman"/>
              </w:rPr>
              <w:t xml:space="preserve">Last Action: 3/7/2014 H Now in Transportation and Economic Development Appropriations Subcommittee </w:t>
            </w:r>
            <w:r>
              <w:rPr>
                <w:rFonts w:eastAsia="Times New Roman" w:cs="Times New Roman"/>
              </w:rPr>
              <w:br/>
              <w:t xml:space="preserve">Location: In committee/council (TEDAS)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8" w:history="1">
              <w:r>
                <w:rPr>
                  <w:rFonts w:eastAsia="Times New Roman" w:cs="Times New Roman"/>
                  <w:b/>
                  <w:bCs/>
                  <w:color w:val="0000FF"/>
                  <w:u w:val="single"/>
                </w:rPr>
                <w:t>SB 0154</w:t>
              </w:r>
            </w:hyperlink>
          </w:p>
        </w:tc>
        <w:tc>
          <w:tcPr>
            <w:tcW w:w="0" w:type="auto"/>
            <w:vAlign w:val="center"/>
            <w:hideMark/>
          </w:tcPr>
          <w:p>
            <w:pPr>
              <w:rPr>
                <w:rFonts w:eastAsia="Times New Roman" w:cs="Times New Roman"/>
              </w:rPr>
            </w:pPr>
            <w:r>
              <w:rPr>
                <w:rFonts w:eastAsia="Times New Roman" w:cs="Times New Roman"/>
              </w:rPr>
              <w:t>Electrical Contracting</w:t>
            </w:r>
          </w:p>
        </w:tc>
        <w:tc>
          <w:tcPr>
            <w:tcW w:w="0" w:type="auto"/>
            <w:vAlign w:val="center"/>
            <w:hideMark/>
          </w:tcPr>
          <w:p>
            <w:pPr>
              <w:rPr>
                <w:rFonts w:eastAsia="Times New Roman" w:cs="Times New Roman"/>
              </w:rPr>
            </w:pPr>
            <w:r>
              <w:rPr>
                <w:rFonts w:eastAsia="Times New Roman" w:cs="Times New Roman"/>
              </w:rPr>
              <w:t xml:space="preserve">Soto </w:t>
            </w:r>
          </w:p>
        </w:tc>
        <w:tc>
          <w:tcPr>
            <w:tcW w:w="0" w:type="auto"/>
            <w:vAlign w:val="center"/>
            <w:hideMark/>
          </w:tcPr>
          <w:p>
            <w:pPr>
              <w:rPr>
                <w:rFonts w:eastAsia="Times New Roman" w:cs="Times New Roman"/>
              </w:rPr>
            </w:pPr>
            <w:r>
              <w:rPr>
                <w:rFonts w:eastAsia="Times New Roman" w:cs="Times New Roman"/>
              </w:rPr>
              <w:t xml:space="preserve">Last Action: 3/4/2014 S Introduced -SJ 23 </w:t>
            </w:r>
            <w:r>
              <w:rPr>
                <w:rFonts w:eastAsia="Times New Roman" w:cs="Times New Roman"/>
              </w:rPr>
              <w:br/>
              <w:t xml:space="preserve">Location: In committee/council (RI)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9" w:history="1">
              <w:r>
                <w:rPr>
                  <w:rFonts w:eastAsia="Times New Roman" w:cs="Times New Roman"/>
                  <w:b/>
                  <w:bCs/>
                  <w:color w:val="0000FF"/>
                  <w:u w:val="single"/>
                </w:rPr>
                <w:t>HB 0155</w:t>
              </w:r>
            </w:hyperlink>
          </w:p>
        </w:tc>
        <w:tc>
          <w:tcPr>
            <w:tcW w:w="0" w:type="auto"/>
            <w:vAlign w:val="center"/>
            <w:hideMark/>
          </w:tcPr>
          <w:p>
            <w:pPr>
              <w:rPr>
                <w:rFonts w:eastAsia="Times New Roman" w:cs="Times New Roman"/>
              </w:rPr>
            </w:pPr>
            <w:r>
              <w:rPr>
                <w:rFonts w:eastAsia="Times New Roman" w:cs="Times New Roman"/>
              </w:rPr>
              <w:t>Defense Contracting</w:t>
            </w:r>
          </w:p>
        </w:tc>
        <w:tc>
          <w:tcPr>
            <w:tcW w:w="0" w:type="auto"/>
            <w:vAlign w:val="center"/>
            <w:hideMark/>
          </w:tcPr>
          <w:p>
            <w:pPr>
              <w:rPr>
                <w:rFonts w:eastAsia="Times New Roman" w:cs="Times New Roman"/>
              </w:rPr>
            </w:pPr>
            <w:r>
              <w:rPr>
                <w:rFonts w:eastAsia="Times New Roman" w:cs="Times New Roman"/>
              </w:rPr>
              <w:t xml:space="preserve">Smith </w:t>
            </w:r>
          </w:p>
        </w:tc>
        <w:tc>
          <w:tcPr>
            <w:tcW w:w="0" w:type="auto"/>
            <w:vAlign w:val="center"/>
            <w:hideMark/>
          </w:tcPr>
          <w:p>
            <w:pPr>
              <w:rPr>
                <w:rFonts w:eastAsia="Times New Roman" w:cs="Times New Roman"/>
              </w:rPr>
            </w:pPr>
            <w:r>
              <w:rPr>
                <w:rFonts w:eastAsia="Times New Roman" w:cs="Times New Roman"/>
              </w:rPr>
              <w:t xml:space="preserve">Last Action: 3/6/2014 H Now in Economic Affairs Committee </w:t>
            </w:r>
            <w:r>
              <w:rPr>
                <w:rFonts w:eastAsia="Times New Roman" w:cs="Times New Roman"/>
              </w:rPr>
              <w:br/>
              <w:t xml:space="preserve">Location: In committee/council (EAC)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0" w:history="1">
              <w:r>
                <w:rPr>
                  <w:rFonts w:eastAsia="Times New Roman" w:cs="Times New Roman"/>
                  <w:b/>
                  <w:bCs/>
                  <w:color w:val="0000FF"/>
                  <w:u w:val="single"/>
                </w:rPr>
                <w:t>HB 0213</w:t>
              </w:r>
            </w:hyperlink>
          </w:p>
        </w:tc>
        <w:tc>
          <w:tcPr>
            <w:tcW w:w="0" w:type="auto"/>
            <w:vAlign w:val="center"/>
            <w:hideMark/>
          </w:tcPr>
          <w:p>
            <w:pPr>
              <w:rPr>
                <w:rFonts w:eastAsia="Times New Roman" w:cs="Times New Roman"/>
              </w:rPr>
            </w:pPr>
            <w:r>
              <w:rPr>
                <w:rFonts w:eastAsia="Times New Roman" w:cs="Times New Roman"/>
              </w:rPr>
              <w:t>Underground Facility Damage Prevention &amp; Safety</w:t>
            </w:r>
          </w:p>
        </w:tc>
        <w:tc>
          <w:tcPr>
            <w:tcW w:w="0" w:type="auto"/>
            <w:vAlign w:val="center"/>
            <w:hideMark/>
          </w:tcPr>
          <w:p>
            <w:pPr>
              <w:rPr>
                <w:rFonts w:eastAsia="Times New Roman" w:cs="Times New Roman"/>
              </w:rPr>
            </w:pPr>
            <w:r>
              <w:rPr>
                <w:rFonts w:eastAsia="Times New Roman" w:cs="Times New Roman"/>
              </w:rPr>
              <w:t xml:space="preserve">Santiago </w:t>
            </w:r>
          </w:p>
        </w:tc>
        <w:tc>
          <w:tcPr>
            <w:tcW w:w="0" w:type="auto"/>
            <w:vAlign w:val="center"/>
            <w:hideMark/>
          </w:tcPr>
          <w:p>
            <w:pPr>
              <w:rPr>
                <w:rFonts w:eastAsia="Times New Roman" w:cs="Times New Roman"/>
              </w:rPr>
            </w:pPr>
            <w:r>
              <w:rPr>
                <w:rFonts w:eastAsia="Times New Roman" w:cs="Times New Roman"/>
              </w:rPr>
              <w:t xml:space="preserve">Last Action: 2/4/2014 H Withdrawn prior to introduction -HJ 23 </w:t>
            </w:r>
            <w:r>
              <w:rPr>
                <w:rFonts w:eastAsia="Times New Roman" w:cs="Times New Roman"/>
              </w:rPr>
              <w:br/>
              <w:t xml:space="preserve">Location: Withdrawn from consideration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1" w:history="1">
              <w:r>
                <w:rPr>
                  <w:rFonts w:eastAsia="Times New Roman" w:cs="Times New Roman"/>
                  <w:b/>
                  <w:bCs/>
                  <w:color w:val="0000FF"/>
                  <w:u w:val="single"/>
                </w:rPr>
                <w:t>SB 0272</w:t>
              </w:r>
            </w:hyperlink>
          </w:p>
        </w:tc>
        <w:tc>
          <w:tcPr>
            <w:tcW w:w="0" w:type="auto"/>
            <w:vAlign w:val="center"/>
            <w:hideMark/>
          </w:tcPr>
          <w:p>
            <w:pPr>
              <w:rPr>
                <w:rFonts w:eastAsia="Times New Roman" w:cs="Times New Roman"/>
              </w:rPr>
            </w:pPr>
            <w:r>
              <w:rPr>
                <w:rFonts w:eastAsia="Times New Roman" w:cs="Times New Roman"/>
              </w:rPr>
              <w:t>Water and Wastewater Utilities</w:t>
            </w:r>
          </w:p>
        </w:tc>
        <w:tc>
          <w:tcPr>
            <w:tcW w:w="0" w:type="auto"/>
            <w:vAlign w:val="center"/>
            <w:hideMark/>
          </w:tcPr>
          <w:p>
            <w:pPr>
              <w:rPr>
                <w:rFonts w:eastAsia="Times New Roman" w:cs="Times New Roman"/>
              </w:rPr>
            </w:pPr>
            <w:r>
              <w:rPr>
                <w:rFonts w:eastAsia="Times New Roman" w:cs="Times New Roman"/>
              </w:rPr>
              <w:t xml:space="preserve">Simpson </w:t>
            </w:r>
          </w:p>
        </w:tc>
        <w:tc>
          <w:tcPr>
            <w:tcW w:w="0" w:type="auto"/>
            <w:vAlign w:val="center"/>
            <w:hideMark/>
          </w:tcPr>
          <w:p>
            <w:pPr>
              <w:rPr>
                <w:rFonts w:eastAsia="Times New Roman" w:cs="Times New Roman"/>
              </w:rPr>
            </w:pPr>
            <w:r>
              <w:rPr>
                <w:rFonts w:eastAsia="Times New Roman" w:cs="Times New Roman"/>
              </w:rPr>
              <w:t xml:space="preserve">Last Action: 3/4/2014 S CS/CS by Community Affairs read 1st time -SJ 120 </w:t>
            </w:r>
            <w:r>
              <w:rPr>
                <w:rFonts w:eastAsia="Times New Roman" w:cs="Times New Roman"/>
              </w:rPr>
              <w:br/>
              <w:t xml:space="preserve">Location: In committee/council (AP)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2" w:history="1">
              <w:r>
                <w:rPr>
                  <w:rFonts w:eastAsia="Times New Roman" w:cs="Times New Roman"/>
                  <w:b/>
                  <w:bCs/>
                  <w:color w:val="0000FF"/>
                  <w:u w:val="single"/>
                </w:rPr>
                <w:t>SB 0288</w:t>
              </w:r>
            </w:hyperlink>
          </w:p>
        </w:tc>
        <w:tc>
          <w:tcPr>
            <w:tcW w:w="0" w:type="auto"/>
            <w:vAlign w:val="center"/>
            <w:hideMark/>
          </w:tcPr>
          <w:p>
            <w:pPr>
              <w:rPr>
                <w:rFonts w:eastAsia="Times New Roman" w:cs="Times New Roman"/>
              </w:rPr>
            </w:pPr>
            <w:r>
              <w:rPr>
                <w:rFonts w:eastAsia="Times New Roman" w:cs="Times New Roman"/>
              </w:rPr>
              <w:t>Underground Facility Damage Prevention and Safety</w:t>
            </w:r>
          </w:p>
        </w:tc>
        <w:tc>
          <w:tcPr>
            <w:tcW w:w="0" w:type="auto"/>
            <w:vAlign w:val="center"/>
            <w:hideMark/>
          </w:tcPr>
          <w:p>
            <w:pPr>
              <w:rPr>
                <w:rFonts w:eastAsia="Times New Roman" w:cs="Times New Roman"/>
              </w:rPr>
            </w:pPr>
            <w:r>
              <w:rPr>
                <w:rFonts w:eastAsia="Times New Roman" w:cs="Times New Roman"/>
              </w:rPr>
              <w:t xml:space="preserve">Richter </w:t>
            </w:r>
          </w:p>
        </w:tc>
        <w:tc>
          <w:tcPr>
            <w:tcW w:w="0" w:type="auto"/>
            <w:vAlign w:val="center"/>
            <w:hideMark/>
          </w:tcPr>
          <w:p>
            <w:pPr>
              <w:rPr>
                <w:rFonts w:eastAsia="Times New Roman" w:cs="Times New Roman"/>
              </w:rPr>
            </w:pPr>
            <w:r>
              <w:rPr>
                <w:rFonts w:eastAsia="Times New Roman" w:cs="Times New Roman"/>
              </w:rPr>
              <w:t>Last Action: 2/7/2014 S Withdrawn prior to introduction -SJ 31</w:t>
            </w:r>
          </w:p>
          <w:p>
            <w:pPr>
              <w:rPr>
                <w:rFonts w:eastAsia="Times New Roman" w:cs="Times New Roman"/>
              </w:rPr>
            </w:pPr>
            <w:r>
              <w:rPr>
                <w:rFonts w:eastAsia="Times New Roman" w:cs="Times New Roman"/>
              </w:rPr>
              <w:t xml:space="preserve"> </w:t>
            </w:r>
            <w:r>
              <w:rPr>
                <w:rFonts w:eastAsia="Times New Roman" w:cs="Times New Roman"/>
              </w:rPr>
              <w:br/>
              <w:t xml:space="preserve">Location: Withdrawn from consideration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3" w:history="1">
              <w:r>
                <w:rPr>
                  <w:rFonts w:eastAsia="Times New Roman" w:cs="Times New Roman"/>
                  <w:b/>
                  <w:bCs/>
                  <w:color w:val="0000FF"/>
                  <w:u w:val="single"/>
                </w:rPr>
                <w:t>HB 0357</w:t>
              </w:r>
            </w:hyperlink>
          </w:p>
        </w:tc>
        <w:tc>
          <w:tcPr>
            <w:tcW w:w="0" w:type="auto"/>
            <w:vAlign w:val="center"/>
            <w:hideMark/>
          </w:tcPr>
          <w:p>
            <w:pPr>
              <w:rPr>
                <w:rFonts w:eastAsia="Times New Roman" w:cs="Times New Roman"/>
              </w:rPr>
            </w:pPr>
            <w:r>
              <w:rPr>
                <w:rFonts w:eastAsia="Times New Roman" w:cs="Times New Roman"/>
              </w:rPr>
              <w:t>Water and Wastewater Utility Systems</w:t>
            </w:r>
          </w:p>
        </w:tc>
        <w:tc>
          <w:tcPr>
            <w:tcW w:w="0" w:type="auto"/>
            <w:vAlign w:val="center"/>
            <w:hideMark/>
          </w:tcPr>
          <w:p>
            <w:pPr>
              <w:rPr>
                <w:rFonts w:eastAsia="Times New Roman" w:cs="Times New Roman"/>
              </w:rPr>
            </w:pPr>
            <w:r>
              <w:rPr>
                <w:rFonts w:eastAsia="Times New Roman" w:cs="Times New Roman"/>
              </w:rPr>
              <w:t xml:space="preserve">Santiago </w:t>
            </w:r>
          </w:p>
        </w:tc>
        <w:tc>
          <w:tcPr>
            <w:tcW w:w="0" w:type="auto"/>
            <w:vAlign w:val="center"/>
            <w:hideMark/>
          </w:tcPr>
          <w:p>
            <w:pPr>
              <w:rPr>
                <w:rFonts w:eastAsia="Times New Roman" w:cs="Times New Roman"/>
              </w:rPr>
            </w:pPr>
            <w:r>
              <w:rPr>
                <w:rFonts w:eastAsia="Times New Roman" w:cs="Times New Roman"/>
              </w:rPr>
              <w:t xml:space="preserve">Last Action: 3/4/2014 H Introduced -HJ 32 </w:t>
            </w:r>
            <w:r>
              <w:rPr>
                <w:rFonts w:eastAsia="Times New Roman" w:cs="Times New Roman"/>
              </w:rPr>
              <w:br/>
              <w:t xml:space="preserve">Location: In committee/council (FTSC)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4" w:history="1">
              <w:r>
                <w:rPr>
                  <w:rFonts w:eastAsia="Times New Roman" w:cs="Times New Roman"/>
                  <w:b/>
                  <w:bCs/>
                  <w:color w:val="0000FF"/>
                  <w:u w:val="single"/>
                </w:rPr>
                <w:t>HB 0359</w:t>
              </w:r>
            </w:hyperlink>
          </w:p>
        </w:tc>
        <w:tc>
          <w:tcPr>
            <w:tcW w:w="0" w:type="auto"/>
            <w:vAlign w:val="center"/>
            <w:hideMark/>
          </w:tcPr>
          <w:p>
            <w:pPr>
              <w:rPr>
                <w:rFonts w:eastAsia="Times New Roman" w:cs="Times New Roman"/>
              </w:rPr>
            </w:pPr>
            <w:r>
              <w:rPr>
                <w:rFonts w:eastAsia="Times New Roman" w:cs="Times New Roman"/>
              </w:rPr>
              <w:t>Renovation of Educational Facilities</w:t>
            </w:r>
          </w:p>
        </w:tc>
        <w:tc>
          <w:tcPr>
            <w:tcW w:w="0" w:type="auto"/>
            <w:vAlign w:val="center"/>
            <w:hideMark/>
          </w:tcPr>
          <w:p>
            <w:pPr>
              <w:rPr>
                <w:rFonts w:eastAsia="Times New Roman" w:cs="Times New Roman"/>
              </w:rPr>
            </w:pPr>
            <w:r>
              <w:rPr>
                <w:rFonts w:eastAsia="Times New Roman" w:cs="Times New Roman"/>
              </w:rPr>
              <w:t xml:space="preserve">Zimmermann </w:t>
            </w:r>
          </w:p>
        </w:tc>
        <w:tc>
          <w:tcPr>
            <w:tcW w:w="0" w:type="auto"/>
            <w:vAlign w:val="center"/>
            <w:hideMark/>
          </w:tcPr>
          <w:p>
            <w:pPr>
              <w:rPr>
                <w:rFonts w:eastAsia="Times New Roman" w:cs="Times New Roman"/>
              </w:rPr>
            </w:pPr>
            <w:r>
              <w:rPr>
                <w:rFonts w:eastAsia="Times New Roman" w:cs="Times New Roman"/>
              </w:rPr>
              <w:t xml:space="preserve">Last Action: 3/4/2014 H Introduced -HJ 33 </w:t>
            </w:r>
            <w:r>
              <w:rPr>
                <w:rFonts w:eastAsia="Times New Roman" w:cs="Times New Roman"/>
              </w:rPr>
              <w:br/>
              <w:t xml:space="preserve">Location: In committee/council (KTS)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5" w:history="1">
              <w:r>
                <w:rPr>
                  <w:rFonts w:eastAsia="Times New Roman" w:cs="Times New Roman"/>
                  <w:b/>
                  <w:bCs/>
                  <w:color w:val="0000FF"/>
                  <w:u w:val="single"/>
                </w:rPr>
                <w:t>SB 0416</w:t>
              </w:r>
            </w:hyperlink>
          </w:p>
        </w:tc>
        <w:tc>
          <w:tcPr>
            <w:tcW w:w="0" w:type="auto"/>
            <w:vAlign w:val="center"/>
            <w:hideMark/>
          </w:tcPr>
          <w:p>
            <w:pPr>
              <w:rPr>
                <w:rFonts w:eastAsia="Times New Roman" w:cs="Times New Roman"/>
              </w:rPr>
            </w:pPr>
            <w:r>
              <w:rPr>
                <w:rFonts w:eastAsia="Times New Roman" w:cs="Times New Roman"/>
              </w:rPr>
              <w:t>Sinkhole Coverage</w:t>
            </w:r>
          </w:p>
        </w:tc>
        <w:tc>
          <w:tcPr>
            <w:tcW w:w="0" w:type="auto"/>
            <w:vAlign w:val="center"/>
            <w:hideMark/>
          </w:tcPr>
          <w:p>
            <w:pPr>
              <w:rPr>
                <w:rFonts w:eastAsia="Times New Roman" w:cs="Times New Roman"/>
              </w:rPr>
            </w:pPr>
            <w:r>
              <w:rPr>
                <w:rFonts w:eastAsia="Times New Roman" w:cs="Times New Roman"/>
              </w:rPr>
              <w:t xml:space="preserve">Simpson </w:t>
            </w:r>
          </w:p>
        </w:tc>
        <w:tc>
          <w:tcPr>
            <w:tcW w:w="0" w:type="auto"/>
            <w:vAlign w:val="center"/>
            <w:hideMark/>
          </w:tcPr>
          <w:p>
            <w:pPr>
              <w:rPr>
                <w:rFonts w:eastAsia="Times New Roman" w:cs="Times New Roman"/>
              </w:rPr>
            </w:pPr>
            <w:r>
              <w:rPr>
                <w:rFonts w:eastAsia="Times New Roman" w:cs="Times New Roman"/>
              </w:rPr>
              <w:t xml:space="preserve">Last Action: 3/7/2014 S On Committee agenda-- Appropriations Subcommittee on General Government, 03/12/14, 1:00 pm, 110 Senate Office Building </w:t>
            </w:r>
            <w:r>
              <w:rPr>
                <w:rFonts w:eastAsia="Times New Roman" w:cs="Times New Roman"/>
              </w:rPr>
              <w:br/>
              <w:t xml:space="preserve">Location: On agenda (AGG)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6" w:history="1">
              <w:r>
                <w:rPr>
                  <w:rFonts w:eastAsia="Times New Roman" w:cs="Times New Roman"/>
                  <w:b/>
                  <w:bCs/>
                  <w:color w:val="0000FF"/>
                  <w:u w:val="single"/>
                </w:rPr>
                <w:t>SB 0418</w:t>
              </w:r>
            </w:hyperlink>
          </w:p>
        </w:tc>
        <w:tc>
          <w:tcPr>
            <w:tcW w:w="0" w:type="auto"/>
            <w:vAlign w:val="center"/>
            <w:hideMark/>
          </w:tcPr>
          <w:p>
            <w:pPr>
              <w:rPr>
                <w:rFonts w:eastAsia="Times New Roman" w:cs="Times New Roman"/>
              </w:rPr>
            </w:pPr>
            <w:r>
              <w:rPr>
                <w:rFonts w:eastAsia="Times New Roman" w:cs="Times New Roman"/>
              </w:rPr>
              <w:t>Fee Waivers for Military Veterans</w:t>
            </w:r>
          </w:p>
        </w:tc>
        <w:tc>
          <w:tcPr>
            <w:tcW w:w="0" w:type="auto"/>
            <w:vAlign w:val="center"/>
            <w:hideMark/>
          </w:tcPr>
          <w:p>
            <w:pPr>
              <w:rPr>
                <w:rFonts w:eastAsia="Times New Roman" w:cs="Times New Roman"/>
              </w:rPr>
            </w:pPr>
            <w:r>
              <w:rPr>
                <w:rFonts w:eastAsia="Times New Roman" w:cs="Times New Roman"/>
              </w:rPr>
              <w:t xml:space="preserve">Sachs </w:t>
            </w:r>
          </w:p>
        </w:tc>
        <w:tc>
          <w:tcPr>
            <w:tcW w:w="0" w:type="auto"/>
            <w:vAlign w:val="center"/>
            <w:hideMark/>
          </w:tcPr>
          <w:p>
            <w:pPr>
              <w:rPr>
                <w:rFonts w:eastAsia="Times New Roman" w:cs="Times New Roman"/>
              </w:rPr>
            </w:pPr>
            <w:r>
              <w:rPr>
                <w:rFonts w:eastAsia="Times New Roman" w:cs="Times New Roman"/>
              </w:rPr>
              <w:t xml:space="preserve">Last Action: 3/4/2014 S Introduced -SJ 38 </w:t>
            </w:r>
            <w:r>
              <w:rPr>
                <w:rFonts w:eastAsia="Times New Roman" w:cs="Times New Roman"/>
              </w:rPr>
              <w:br/>
              <w:t xml:space="preserve">Location: In committee/council (MS) </w:t>
            </w: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7" w:history="1">
              <w:r>
                <w:rPr>
                  <w:rFonts w:eastAsia="Times New Roman" w:cs="Times New Roman"/>
                  <w:b/>
                  <w:bCs/>
                  <w:color w:val="0000FF"/>
                  <w:u w:val="single"/>
                </w:rPr>
                <w:t>HB 0429</w:t>
              </w:r>
            </w:hyperlink>
          </w:p>
        </w:tc>
        <w:tc>
          <w:tcPr>
            <w:tcW w:w="0" w:type="auto"/>
            <w:vAlign w:val="center"/>
            <w:hideMark/>
          </w:tcPr>
          <w:p>
            <w:pPr>
              <w:rPr>
                <w:rFonts w:eastAsia="Times New Roman" w:cs="Times New Roman"/>
              </w:rPr>
            </w:pPr>
            <w:r>
              <w:rPr>
                <w:rFonts w:eastAsia="Times New Roman" w:cs="Times New Roman"/>
              </w:rPr>
              <w:t>Hearsay</w:t>
            </w:r>
          </w:p>
        </w:tc>
        <w:tc>
          <w:tcPr>
            <w:tcW w:w="0" w:type="auto"/>
            <w:vAlign w:val="center"/>
            <w:hideMark/>
          </w:tcPr>
          <w:p>
            <w:pPr>
              <w:rPr>
                <w:rFonts w:eastAsia="Times New Roman" w:cs="Times New Roman"/>
              </w:rPr>
            </w:pPr>
            <w:r>
              <w:rPr>
                <w:rFonts w:eastAsia="Times New Roman" w:cs="Times New Roman"/>
              </w:rPr>
              <w:t xml:space="preserve">Passidomo </w:t>
            </w:r>
          </w:p>
        </w:tc>
        <w:tc>
          <w:tcPr>
            <w:tcW w:w="0" w:type="auto"/>
            <w:vAlign w:val="center"/>
            <w:hideMark/>
          </w:tcPr>
          <w:p>
            <w:pPr>
              <w:rPr>
                <w:rFonts w:eastAsia="Times New Roman" w:cs="Times New Roman"/>
              </w:rPr>
            </w:pPr>
            <w:r>
              <w:rPr>
                <w:rFonts w:eastAsia="Times New Roman" w:cs="Times New Roman"/>
              </w:rPr>
              <w:t xml:space="preserve">Last Action: 3/7/2014 H Pending review of CS under Rule 7.19(c) </w:t>
            </w:r>
            <w:r>
              <w:rPr>
                <w:rFonts w:eastAsia="Times New Roman" w:cs="Times New Roman"/>
              </w:rPr>
              <w:br/>
              <w:t xml:space="preserve">Location: Pending Reference Review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8" w:history="1">
              <w:r>
                <w:rPr>
                  <w:rFonts w:eastAsia="Times New Roman" w:cs="Times New Roman"/>
                  <w:b/>
                  <w:bCs/>
                  <w:color w:val="0000FF"/>
                  <w:u w:val="single"/>
                </w:rPr>
                <w:t>SB 0444</w:t>
              </w:r>
            </w:hyperlink>
          </w:p>
        </w:tc>
        <w:tc>
          <w:tcPr>
            <w:tcW w:w="0" w:type="auto"/>
            <w:vAlign w:val="center"/>
            <w:hideMark/>
          </w:tcPr>
          <w:p>
            <w:pPr>
              <w:rPr>
                <w:rFonts w:eastAsia="Times New Roman" w:cs="Times New Roman"/>
              </w:rPr>
            </w:pPr>
            <w:r>
              <w:rPr>
                <w:rFonts w:eastAsia="Times New Roman" w:cs="Times New Roman"/>
              </w:rPr>
              <w:t>Workers’ Compensation</w:t>
            </w:r>
          </w:p>
        </w:tc>
        <w:tc>
          <w:tcPr>
            <w:tcW w:w="0" w:type="auto"/>
            <w:vAlign w:val="center"/>
            <w:hideMark/>
          </w:tcPr>
          <w:p>
            <w:pPr>
              <w:rPr>
                <w:rFonts w:eastAsia="Times New Roman" w:cs="Times New Roman"/>
              </w:rPr>
            </w:pPr>
            <w:r>
              <w:rPr>
                <w:rFonts w:eastAsia="Times New Roman" w:cs="Times New Roman"/>
              </w:rPr>
              <w:t xml:space="preserve">Galvano </w:t>
            </w:r>
          </w:p>
        </w:tc>
        <w:tc>
          <w:tcPr>
            <w:tcW w:w="0" w:type="auto"/>
            <w:vAlign w:val="center"/>
            <w:hideMark/>
          </w:tcPr>
          <w:p>
            <w:pPr>
              <w:rPr>
                <w:rFonts w:eastAsia="Times New Roman" w:cs="Times New Roman"/>
              </w:rPr>
            </w:pPr>
            <w:r>
              <w:rPr>
                <w:rFonts w:eastAsia="Times New Roman" w:cs="Times New Roman"/>
              </w:rPr>
              <w:t xml:space="preserve">Last Action: 3/4/2014 S Introduced -SJ 40 </w:t>
            </w:r>
            <w:r>
              <w:rPr>
                <w:rFonts w:eastAsia="Times New Roman" w:cs="Times New Roman"/>
              </w:rPr>
              <w:br/>
              <w:t xml:space="preserve">Location: In committee/council (AP)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19" w:history="1">
              <w:r>
                <w:rPr>
                  <w:rFonts w:eastAsia="Times New Roman" w:cs="Times New Roman"/>
                  <w:b/>
                  <w:bCs/>
                  <w:color w:val="0000FF"/>
                  <w:u w:val="single"/>
                </w:rPr>
                <w:t>SB 0460</w:t>
              </w:r>
            </w:hyperlink>
          </w:p>
        </w:tc>
        <w:tc>
          <w:tcPr>
            <w:tcW w:w="0" w:type="auto"/>
            <w:vAlign w:val="center"/>
            <w:hideMark/>
          </w:tcPr>
          <w:p>
            <w:pPr>
              <w:rPr>
                <w:rFonts w:eastAsia="Times New Roman" w:cs="Times New Roman"/>
              </w:rPr>
            </w:pPr>
            <w:r>
              <w:rPr>
                <w:rFonts w:eastAsia="Times New Roman" w:cs="Times New Roman"/>
              </w:rPr>
              <w:t>Construction Liens</w:t>
            </w:r>
          </w:p>
        </w:tc>
        <w:tc>
          <w:tcPr>
            <w:tcW w:w="0" w:type="auto"/>
            <w:vAlign w:val="center"/>
            <w:hideMark/>
          </w:tcPr>
          <w:p>
            <w:pPr>
              <w:rPr>
                <w:rFonts w:eastAsia="Times New Roman" w:cs="Times New Roman"/>
              </w:rPr>
            </w:pPr>
            <w:r>
              <w:rPr>
                <w:rFonts w:eastAsia="Times New Roman" w:cs="Times New Roman"/>
              </w:rPr>
              <w:t xml:space="preserve">Simpson </w:t>
            </w:r>
          </w:p>
        </w:tc>
        <w:tc>
          <w:tcPr>
            <w:tcW w:w="0" w:type="auto"/>
            <w:vAlign w:val="center"/>
            <w:hideMark/>
          </w:tcPr>
          <w:p>
            <w:pPr>
              <w:rPr>
                <w:rFonts w:eastAsia="Times New Roman" w:cs="Times New Roman"/>
              </w:rPr>
            </w:pPr>
            <w:r>
              <w:rPr>
                <w:rFonts w:eastAsia="Times New Roman" w:cs="Times New Roman"/>
              </w:rPr>
              <w:t xml:space="preserve">Last Action: 3/4/2014 S Introduced -SJ 40 </w:t>
            </w:r>
            <w:r>
              <w:rPr>
                <w:rFonts w:eastAsia="Times New Roman" w:cs="Times New Roman"/>
              </w:rPr>
              <w:br/>
              <w:t xml:space="preserve">Location: In committee/council (JU) </w:t>
            </w: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0" w:history="1">
              <w:r>
                <w:rPr>
                  <w:rFonts w:eastAsia="Times New Roman" w:cs="Times New Roman"/>
                  <w:b/>
                  <w:bCs/>
                  <w:color w:val="0000FF"/>
                  <w:u w:val="single"/>
                </w:rPr>
                <w:t>HB 0541</w:t>
              </w:r>
            </w:hyperlink>
          </w:p>
        </w:tc>
        <w:tc>
          <w:tcPr>
            <w:tcW w:w="0" w:type="auto"/>
            <w:vAlign w:val="center"/>
            <w:hideMark/>
          </w:tcPr>
          <w:p>
            <w:pPr>
              <w:rPr>
                <w:rFonts w:eastAsia="Times New Roman" w:cs="Times New Roman"/>
              </w:rPr>
            </w:pPr>
            <w:r>
              <w:rPr>
                <w:rFonts w:eastAsia="Times New Roman" w:cs="Times New Roman"/>
              </w:rPr>
              <w:t>Public-Private Partnerships</w:t>
            </w:r>
          </w:p>
        </w:tc>
        <w:tc>
          <w:tcPr>
            <w:tcW w:w="0" w:type="auto"/>
            <w:vAlign w:val="center"/>
            <w:hideMark/>
          </w:tcPr>
          <w:p>
            <w:pPr>
              <w:rPr>
                <w:rFonts w:eastAsia="Times New Roman" w:cs="Times New Roman"/>
              </w:rPr>
            </w:pPr>
            <w:r>
              <w:rPr>
                <w:rFonts w:eastAsia="Times New Roman" w:cs="Times New Roman"/>
              </w:rPr>
              <w:t xml:space="preserve">Steube </w:t>
            </w:r>
          </w:p>
        </w:tc>
        <w:tc>
          <w:tcPr>
            <w:tcW w:w="0" w:type="auto"/>
            <w:vAlign w:val="center"/>
            <w:hideMark/>
          </w:tcPr>
          <w:p>
            <w:pPr>
              <w:rPr>
                <w:rFonts w:eastAsia="Times New Roman" w:cs="Times New Roman"/>
              </w:rPr>
            </w:pPr>
            <w:r>
              <w:rPr>
                <w:rFonts w:eastAsia="Times New Roman" w:cs="Times New Roman"/>
              </w:rPr>
              <w:t xml:space="preserve">Last Action: 3/5/2014 H Now in Government Operations Subcommittee -HJ 206 </w:t>
            </w:r>
            <w:r>
              <w:rPr>
                <w:rFonts w:eastAsia="Times New Roman" w:cs="Times New Roman"/>
              </w:rPr>
              <w:br/>
              <w:t xml:space="preserve">Location: In committee/council (GVOPS)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1" w:history="1">
              <w:r>
                <w:rPr>
                  <w:rFonts w:eastAsia="Times New Roman" w:cs="Times New Roman"/>
                  <w:b/>
                  <w:bCs/>
                  <w:color w:val="0000FF"/>
                  <w:u w:val="single"/>
                </w:rPr>
                <w:t>HB 0543</w:t>
              </w:r>
            </w:hyperlink>
          </w:p>
        </w:tc>
        <w:tc>
          <w:tcPr>
            <w:tcW w:w="0" w:type="auto"/>
            <w:vAlign w:val="center"/>
            <w:hideMark/>
          </w:tcPr>
          <w:p>
            <w:pPr>
              <w:rPr>
                <w:rFonts w:eastAsia="Times New Roman" w:cs="Times New Roman"/>
              </w:rPr>
            </w:pPr>
            <w:r>
              <w:rPr>
                <w:rFonts w:eastAsia="Times New Roman" w:cs="Times New Roman"/>
              </w:rPr>
              <w:t>Pub. Rec./Public-Private Partnerships/State Universities</w:t>
            </w:r>
          </w:p>
        </w:tc>
        <w:tc>
          <w:tcPr>
            <w:tcW w:w="0" w:type="auto"/>
            <w:vAlign w:val="center"/>
            <w:hideMark/>
          </w:tcPr>
          <w:p>
            <w:pPr>
              <w:rPr>
                <w:rFonts w:eastAsia="Times New Roman" w:cs="Times New Roman"/>
              </w:rPr>
            </w:pPr>
            <w:r>
              <w:rPr>
                <w:rFonts w:eastAsia="Times New Roman" w:cs="Times New Roman"/>
              </w:rPr>
              <w:t xml:space="preserve">Steube </w:t>
            </w:r>
          </w:p>
        </w:tc>
        <w:tc>
          <w:tcPr>
            <w:tcW w:w="0" w:type="auto"/>
            <w:vAlign w:val="center"/>
            <w:hideMark/>
          </w:tcPr>
          <w:p>
            <w:pPr>
              <w:rPr>
                <w:rFonts w:eastAsia="Times New Roman" w:cs="Times New Roman"/>
              </w:rPr>
            </w:pPr>
            <w:r>
              <w:rPr>
                <w:rFonts w:eastAsia="Times New Roman" w:cs="Times New Roman"/>
              </w:rPr>
              <w:t xml:space="preserve">Last Action: 3/5/2014 H Now in Government Operations Subcommittee -HJ 206 </w:t>
            </w:r>
            <w:r>
              <w:rPr>
                <w:rFonts w:eastAsia="Times New Roman" w:cs="Times New Roman"/>
              </w:rPr>
              <w:br/>
              <w:t xml:space="preserve">Location: In committee/council (GVOPS)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2" w:history="1">
              <w:r>
                <w:rPr>
                  <w:rFonts w:eastAsia="Times New Roman" w:cs="Times New Roman"/>
                  <w:b/>
                  <w:bCs/>
                  <w:color w:val="0000FF"/>
                  <w:u w:val="single"/>
                </w:rPr>
                <w:t>HB 0565</w:t>
              </w:r>
            </w:hyperlink>
          </w:p>
        </w:tc>
        <w:tc>
          <w:tcPr>
            <w:tcW w:w="0" w:type="auto"/>
            <w:vAlign w:val="center"/>
            <w:hideMark/>
          </w:tcPr>
          <w:p>
            <w:pPr>
              <w:rPr>
                <w:rFonts w:eastAsia="Times New Roman" w:cs="Times New Roman"/>
              </w:rPr>
            </w:pPr>
            <w:r>
              <w:rPr>
                <w:rFonts w:eastAsia="Times New Roman" w:cs="Times New Roman"/>
              </w:rPr>
              <w:t>Insurance</w:t>
            </w:r>
          </w:p>
        </w:tc>
        <w:tc>
          <w:tcPr>
            <w:tcW w:w="0" w:type="auto"/>
            <w:vAlign w:val="center"/>
            <w:hideMark/>
          </w:tcPr>
          <w:p>
            <w:pPr>
              <w:rPr>
                <w:rFonts w:eastAsia="Times New Roman" w:cs="Times New Roman"/>
              </w:rPr>
            </w:pPr>
            <w:r>
              <w:rPr>
                <w:rFonts w:eastAsia="Times New Roman" w:cs="Times New Roman"/>
              </w:rPr>
              <w:t xml:space="preserve">Santiago </w:t>
            </w:r>
          </w:p>
        </w:tc>
        <w:tc>
          <w:tcPr>
            <w:tcW w:w="0" w:type="auto"/>
            <w:vAlign w:val="center"/>
            <w:hideMark/>
          </w:tcPr>
          <w:p>
            <w:pPr>
              <w:rPr>
                <w:rFonts w:eastAsia="Times New Roman" w:cs="Times New Roman"/>
              </w:rPr>
            </w:pPr>
            <w:r>
              <w:rPr>
                <w:rFonts w:eastAsia="Times New Roman" w:cs="Times New Roman"/>
              </w:rPr>
              <w:t xml:space="preserve">Last Action: 3/4/2014 H CS by Insurance and Banking Subcommittee read 1st time -HJ 142 </w:t>
            </w:r>
            <w:r>
              <w:rPr>
                <w:rFonts w:eastAsia="Times New Roman" w:cs="Times New Roman"/>
              </w:rPr>
              <w:br/>
              <w:t xml:space="preserve">Location: In committee/council (RAC)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3" w:history="1">
              <w:r>
                <w:rPr>
                  <w:rFonts w:eastAsia="Times New Roman" w:cs="Times New Roman"/>
                  <w:b/>
                  <w:bCs/>
                  <w:color w:val="0000FF"/>
                  <w:u w:val="single"/>
                </w:rPr>
                <w:t>HB 0581</w:t>
              </w:r>
            </w:hyperlink>
          </w:p>
        </w:tc>
        <w:tc>
          <w:tcPr>
            <w:tcW w:w="0" w:type="auto"/>
            <w:vAlign w:val="center"/>
            <w:hideMark/>
          </w:tcPr>
          <w:p>
            <w:pPr>
              <w:rPr>
                <w:rFonts w:eastAsia="Times New Roman" w:cs="Times New Roman"/>
              </w:rPr>
            </w:pPr>
            <w:r>
              <w:rPr>
                <w:rFonts w:eastAsia="Times New Roman" w:cs="Times New Roman"/>
              </w:rPr>
              <w:t>Flood Insurance</w:t>
            </w:r>
          </w:p>
        </w:tc>
        <w:tc>
          <w:tcPr>
            <w:tcW w:w="0" w:type="auto"/>
            <w:vAlign w:val="center"/>
            <w:hideMark/>
          </w:tcPr>
          <w:p>
            <w:pPr>
              <w:rPr>
                <w:rFonts w:eastAsia="Times New Roman" w:cs="Times New Roman"/>
              </w:rPr>
            </w:pPr>
            <w:r>
              <w:rPr>
                <w:rFonts w:eastAsia="Times New Roman" w:cs="Times New Roman"/>
              </w:rPr>
              <w:t xml:space="preserve">Ahern </w:t>
            </w:r>
          </w:p>
        </w:tc>
        <w:tc>
          <w:tcPr>
            <w:tcW w:w="0" w:type="auto"/>
            <w:vAlign w:val="center"/>
            <w:hideMark/>
          </w:tcPr>
          <w:p>
            <w:pPr>
              <w:rPr>
                <w:rFonts w:eastAsia="Times New Roman" w:cs="Times New Roman"/>
              </w:rPr>
            </w:pPr>
            <w:r>
              <w:rPr>
                <w:rFonts w:eastAsia="Times New Roman" w:cs="Times New Roman"/>
              </w:rPr>
              <w:t xml:space="preserve">Last Action: 3/4/2014 H Introduced -HJ 50 </w:t>
            </w:r>
            <w:r>
              <w:rPr>
                <w:rFonts w:eastAsia="Times New Roman" w:cs="Times New Roman"/>
              </w:rPr>
              <w:br/>
              <w:t xml:space="preserve">Location: In committee/council (IBS)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4" w:history="1">
              <w:r>
                <w:rPr>
                  <w:rFonts w:eastAsia="Times New Roman" w:cs="Times New Roman"/>
                  <w:b/>
                  <w:bCs/>
                  <w:color w:val="0000FF"/>
                  <w:u w:val="single"/>
                </w:rPr>
                <w:t>HB 0593</w:t>
              </w:r>
            </w:hyperlink>
          </w:p>
        </w:tc>
        <w:tc>
          <w:tcPr>
            <w:tcW w:w="0" w:type="auto"/>
            <w:vAlign w:val="center"/>
            <w:hideMark/>
          </w:tcPr>
          <w:p>
            <w:pPr>
              <w:rPr>
                <w:rFonts w:eastAsia="Times New Roman" w:cs="Times New Roman"/>
              </w:rPr>
            </w:pPr>
            <w:r>
              <w:rPr>
                <w:rFonts w:eastAsia="Times New Roman" w:cs="Times New Roman"/>
              </w:rPr>
              <w:t>Building Construction</w:t>
            </w:r>
          </w:p>
        </w:tc>
        <w:tc>
          <w:tcPr>
            <w:tcW w:w="0" w:type="auto"/>
            <w:vAlign w:val="center"/>
            <w:hideMark/>
          </w:tcPr>
          <w:p>
            <w:pPr>
              <w:rPr>
                <w:rFonts w:eastAsia="Times New Roman" w:cs="Times New Roman"/>
              </w:rPr>
            </w:pPr>
            <w:r>
              <w:rPr>
                <w:rFonts w:eastAsia="Times New Roman" w:cs="Times New Roman"/>
              </w:rPr>
              <w:t xml:space="preserve">Eagle </w:t>
            </w:r>
          </w:p>
        </w:tc>
        <w:tc>
          <w:tcPr>
            <w:tcW w:w="0" w:type="auto"/>
            <w:vAlign w:val="center"/>
            <w:hideMark/>
          </w:tcPr>
          <w:p>
            <w:pPr>
              <w:rPr>
                <w:rFonts w:eastAsia="Times New Roman" w:cs="Times New Roman"/>
              </w:rPr>
            </w:pPr>
            <w:r>
              <w:rPr>
                <w:rFonts w:eastAsia="Times New Roman" w:cs="Times New Roman"/>
              </w:rPr>
              <w:t xml:space="preserve">Last Action: 3/7/2014 H On Committee agenda-- Business and Professional Regulation Subcommittee, 03/11/14, 12:30 pm, 12 HOB </w:t>
            </w:r>
            <w:r>
              <w:rPr>
                <w:rFonts w:eastAsia="Times New Roman" w:cs="Times New Roman"/>
              </w:rPr>
              <w:br/>
              <w:t xml:space="preserve">Location: On agenda (BPRS)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5" w:history="1">
              <w:r>
                <w:rPr>
                  <w:rFonts w:eastAsia="Times New Roman" w:cs="Times New Roman"/>
                  <w:b/>
                  <w:bCs/>
                  <w:color w:val="0000FF"/>
                  <w:u w:val="single"/>
                </w:rPr>
                <w:t>SB 0596</w:t>
              </w:r>
            </w:hyperlink>
          </w:p>
        </w:tc>
        <w:tc>
          <w:tcPr>
            <w:tcW w:w="0" w:type="auto"/>
            <w:vAlign w:val="center"/>
            <w:hideMark/>
          </w:tcPr>
          <w:p>
            <w:pPr>
              <w:rPr>
                <w:rFonts w:eastAsia="Times New Roman" w:cs="Times New Roman"/>
              </w:rPr>
            </w:pPr>
            <w:r>
              <w:rPr>
                <w:rFonts w:eastAsia="Times New Roman" w:cs="Times New Roman"/>
              </w:rPr>
              <w:t>Defense Contracting</w:t>
            </w:r>
          </w:p>
        </w:tc>
        <w:tc>
          <w:tcPr>
            <w:tcW w:w="0" w:type="auto"/>
            <w:vAlign w:val="center"/>
            <w:hideMark/>
          </w:tcPr>
          <w:p>
            <w:pPr>
              <w:rPr>
                <w:rFonts w:eastAsia="Times New Roman" w:cs="Times New Roman"/>
              </w:rPr>
            </w:pPr>
            <w:r>
              <w:rPr>
                <w:rFonts w:eastAsia="Times New Roman" w:cs="Times New Roman"/>
              </w:rPr>
              <w:t xml:space="preserve">Evers </w:t>
            </w:r>
          </w:p>
        </w:tc>
        <w:tc>
          <w:tcPr>
            <w:tcW w:w="0" w:type="auto"/>
            <w:vAlign w:val="center"/>
            <w:hideMark/>
          </w:tcPr>
          <w:p>
            <w:pPr>
              <w:rPr>
                <w:rFonts w:eastAsia="Times New Roman" w:cs="Times New Roman"/>
              </w:rPr>
            </w:pPr>
            <w:r>
              <w:rPr>
                <w:rFonts w:eastAsia="Times New Roman" w:cs="Times New Roman"/>
              </w:rPr>
              <w:t xml:space="preserve">Last Action: 3/5/2014 S Now in Military and Veterans Affairs, Space, and Domestic Security -SJ 139 </w:t>
            </w:r>
            <w:r>
              <w:rPr>
                <w:rFonts w:eastAsia="Times New Roman" w:cs="Times New Roman"/>
              </w:rPr>
              <w:br/>
              <w:t xml:space="preserve">Location: In committee/council (MS)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6" w:history="1">
              <w:r>
                <w:rPr>
                  <w:rFonts w:eastAsia="Times New Roman" w:cs="Times New Roman"/>
                  <w:b/>
                  <w:bCs/>
                  <w:color w:val="0000FF"/>
                  <w:u w:val="single"/>
                </w:rPr>
                <w:t>SB 0612</w:t>
              </w:r>
            </w:hyperlink>
          </w:p>
        </w:tc>
        <w:tc>
          <w:tcPr>
            <w:tcW w:w="0" w:type="auto"/>
            <w:vAlign w:val="center"/>
            <w:hideMark/>
          </w:tcPr>
          <w:p>
            <w:pPr>
              <w:rPr>
                <w:rFonts w:eastAsia="Times New Roman" w:cs="Times New Roman"/>
              </w:rPr>
            </w:pPr>
            <w:r>
              <w:rPr>
                <w:rFonts w:eastAsia="Times New Roman" w:cs="Times New Roman"/>
              </w:rPr>
              <w:t>Government Contracting</w:t>
            </w:r>
          </w:p>
        </w:tc>
        <w:tc>
          <w:tcPr>
            <w:tcW w:w="0" w:type="auto"/>
            <w:vAlign w:val="center"/>
            <w:hideMark/>
          </w:tcPr>
          <w:p>
            <w:pPr>
              <w:rPr>
                <w:rFonts w:eastAsia="Times New Roman" w:cs="Times New Roman"/>
              </w:rPr>
            </w:pPr>
            <w:r>
              <w:rPr>
                <w:rFonts w:eastAsia="Times New Roman" w:cs="Times New Roman"/>
              </w:rPr>
              <w:t xml:space="preserve">Hays </w:t>
            </w:r>
          </w:p>
        </w:tc>
        <w:tc>
          <w:tcPr>
            <w:tcW w:w="0" w:type="auto"/>
            <w:vAlign w:val="center"/>
            <w:hideMark/>
          </w:tcPr>
          <w:p>
            <w:pPr>
              <w:rPr>
                <w:rFonts w:eastAsia="Times New Roman" w:cs="Times New Roman"/>
              </w:rPr>
            </w:pPr>
            <w:r>
              <w:rPr>
                <w:rFonts w:eastAsia="Times New Roman" w:cs="Times New Roman"/>
              </w:rPr>
              <w:t xml:space="preserve">Last Action: 3/7/2014 S Pending reference review under Rule 4.7(2) - (Committee </w:t>
            </w:r>
            <w:r>
              <w:rPr>
                <w:rFonts w:eastAsia="Times New Roman" w:cs="Times New Roman"/>
              </w:rPr>
              <w:lastRenderedPageBreak/>
              <w:t xml:space="preserve">Substitute) </w:t>
            </w:r>
            <w:r>
              <w:rPr>
                <w:rFonts w:eastAsia="Times New Roman" w:cs="Times New Roman"/>
              </w:rPr>
              <w:br/>
              <w:t xml:space="preserve">Location: Pending Reference Review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7" w:history="1">
              <w:r>
                <w:rPr>
                  <w:rFonts w:eastAsia="Times New Roman" w:cs="Times New Roman"/>
                  <w:b/>
                  <w:bCs/>
                  <w:color w:val="0000FF"/>
                  <w:u w:val="single"/>
                </w:rPr>
                <w:t>SB 0628</w:t>
              </w:r>
            </w:hyperlink>
          </w:p>
        </w:tc>
        <w:tc>
          <w:tcPr>
            <w:tcW w:w="0" w:type="auto"/>
            <w:vAlign w:val="center"/>
            <w:hideMark/>
          </w:tcPr>
          <w:p>
            <w:pPr>
              <w:rPr>
                <w:rFonts w:eastAsia="Times New Roman" w:cs="Times New Roman"/>
              </w:rPr>
            </w:pPr>
            <w:r>
              <w:rPr>
                <w:rFonts w:eastAsia="Times New Roman" w:cs="Times New Roman"/>
              </w:rPr>
              <w:t>Educational Facilities Financing</w:t>
            </w:r>
          </w:p>
        </w:tc>
        <w:tc>
          <w:tcPr>
            <w:tcW w:w="0" w:type="auto"/>
            <w:vAlign w:val="center"/>
            <w:hideMark/>
          </w:tcPr>
          <w:p>
            <w:pPr>
              <w:rPr>
                <w:rFonts w:eastAsia="Times New Roman" w:cs="Times New Roman"/>
              </w:rPr>
            </w:pPr>
            <w:r>
              <w:rPr>
                <w:rFonts w:eastAsia="Times New Roman" w:cs="Times New Roman"/>
              </w:rPr>
              <w:t xml:space="preserve">Montford </w:t>
            </w:r>
          </w:p>
        </w:tc>
        <w:tc>
          <w:tcPr>
            <w:tcW w:w="0" w:type="auto"/>
            <w:vAlign w:val="center"/>
            <w:hideMark/>
          </w:tcPr>
          <w:p>
            <w:pPr>
              <w:rPr>
                <w:rFonts w:eastAsia="Times New Roman" w:cs="Times New Roman"/>
              </w:rPr>
            </w:pPr>
            <w:r>
              <w:rPr>
                <w:rFonts w:eastAsia="Times New Roman" w:cs="Times New Roman"/>
              </w:rPr>
              <w:t xml:space="preserve">Last Action: 3/4/2014 S Introduced -SJ 51 </w:t>
            </w:r>
            <w:r>
              <w:rPr>
                <w:rFonts w:eastAsia="Times New Roman" w:cs="Times New Roman"/>
              </w:rPr>
              <w:br/>
              <w:t xml:space="preserve">Location: In committee/council (ED)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8" w:history="1">
              <w:r>
                <w:rPr>
                  <w:rFonts w:eastAsia="Times New Roman" w:cs="Times New Roman"/>
                  <w:b/>
                  <w:bCs/>
                  <w:color w:val="0000FF"/>
                  <w:u w:val="single"/>
                </w:rPr>
                <w:t>SB 0644</w:t>
              </w:r>
            </w:hyperlink>
          </w:p>
        </w:tc>
        <w:tc>
          <w:tcPr>
            <w:tcW w:w="0" w:type="auto"/>
            <w:vAlign w:val="center"/>
            <w:hideMark/>
          </w:tcPr>
          <w:p>
            <w:pPr>
              <w:rPr>
                <w:rFonts w:eastAsia="Times New Roman" w:cs="Times New Roman"/>
              </w:rPr>
            </w:pPr>
            <w:r>
              <w:rPr>
                <w:rFonts w:eastAsia="Times New Roman" w:cs="Times New Roman"/>
              </w:rPr>
              <w:t>Accessory Dwelling Units</w:t>
            </w:r>
          </w:p>
        </w:tc>
        <w:tc>
          <w:tcPr>
            <w:tcW w:w="0" w:type="auto"/>
            <w:vAlign w:val="center"/>
            <w:hideMark/>
          </w:tcPr>
          <w:p>
            <w:pPr>
              <w:rPr>
                <w:rFonts w:eastAsia="Times New Roman" w:cs="Times New Roman"/>
              </w:rPr>
            </w:pPr>
            <w:r>
              <w:rPr>
                <w:rFonts w:eastAsia="Times New Roman" w:cs="Times New Roman"/>
              </w:rPr>
              <w:t xml:space="preserve">Simpson </w:t>
            </w:r>
          </w:p>
        </w:tc>
        <w:tc>
          <w:tcPr>
            <w:tcW w:w="0" w:type="auto"/>
            <w:vAlign w:val="center"/>
            <w:hideMark/>
          </w:tcPr>
          <w:p>
            <w:pPr>
              <w:rPr>
                <w:rFonts w:eastAsia="Times New Roman" w:cs="Times New Roman"/>
              </w:rPr>
            </w:pPr>
            <w:r>
              <w:rPr>
                <w:rFonts w:eastAsia="Times New Roman" w:cs="Times New Roman"/>
              </w:rPr>
              <w:t xml:space="preserve">Last Action: 3/4/2014 S Introduced -SJ 53 </w:t>
            </w:r>
            <w:r>
              <w:rPr>
                <w:rFonts w:eastAsia="Times New Roman" w:cs="Times New Roman"/>
              </w:rPr>
              <w:br/>
              <w:t xml:space="preserve">Location: In committee/council (CF)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29" w:history="1">
              <w:r>
                <w:rPr>
                  <w:rFonts w:eastAsia="Times New Roman" w:cs="Times New Roman"/>
                  <w:b/>
                  <w:bCs/>
                  <w:color w:val="0000FF"/>
                  <w:u w:val="single"/>
                </w:rPr>
                <w:t>SB 0692</w:t>
              </w:r>
            </w:hyperlink>
          </w:p>
        </w:tc>
        <w:tc>
          <w:tcPr>
            <w:tcW w:w="0" w:type="auto"/>
            <w:vAlign w:val="center"/>
            <w:hideMark/>
          </w:tcPr>
          <w:p>
            <w:pPr>
              <w:rPr>
                <w:rFonts w:eastAsia="Times New Roman" w:cs="Times New Roman"/>
              </w:rPr>
            </w:pPr>
            <w:r>
              <w:rPr>
                <w:rFonts w:eastAsia="Times New Roman" w:cs="Times New Roman"/>
              </w:rPr>
              <w:t>Engineers</w:t>
            </w:r>
          </w:p>
        </w:tc>
        <w:tc>
          <w:tcPr>
            <w:tcW w:w="0" w:type="auto"/>
            <w:vAlign w:val="center"/>
            <w:hideMark/>
          </w:tcPr>
          <w:p>
            <w:pPr>
              <w:rPr>
                <w:rFonts w:eastAsia="Times New Roman" w:cs="Times New Roman"/>
              </w:rPr>
            </w:pPr>
            <w:r>
              <w:rPr>
                <w:rFonts w:eastAsia="Times New Roman" w:cs="Times New Roman"/>
              </w:rPr>
              <w:t xml:space="preserve">Stargel </w:t>
            </w:r>
          </w:p>
        </w:tc>
        <w:tc>
          <w:tcPr>
            <w:tcW w:w="0" w:type="auto"/>
            <w:vAlign w:val="center"/>
            <w:hideMark/>
          </w:tcPr>
          <w:p>
            <w:pPr>
              <w:rPr>
                <w:rFonts w:eastAsia="Times New Roman" w:cs="Times New Roman"/>
              </w:rPr>
            </w:pPr>
            <w:r>
              <w:rPr>
                <w:rFonts w:eastAsia="Times New Roman" w:cs="Times New Roman"/>
              </w:rPr>
              <w:t xml:space="preserve">Last Action: 3/6/2014 S CS by Regulated Industries; YEAS 10 NAYS 0 </w:t>
            </w:r>
            <w:r>
              <w:rPr>
                <w:rFonts w:eastAsia="Times New Roman" w:cs="Times New Roman"/>
              </w:rPr>
              <w:br/>
              <w:t xml:space="preserve">Location: Acted on by committee/council, pending report (RI)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30" w:history="1">
              <w:r>
                <w:rPr>
                  <w:rFonts w:eastAsia="Times New Roman" w:cs="Times New Roman"/>
                  <w:b/>
                  <w:bCs/>
                  <w:color w:val="0000FF"/>
                  <w:u w:val="single"/>
                </w:rPr>
                <w:t>HB 0707</w:t>
              </w:r>
            </w:hyperlink>
          </w:p>
        </w:tc>
        <w:tc>
          <w:tcPr>
            <w:tcW w:w="0" w:type="auto"/>
            <w:vAlign w:val="center"/>
            <w:hideMark/>
          </w:tcPr>
          <w:p>
            <w:pPr>
              <w:rPr>
                <w:rFonts w:eastAsia="Times New Roman" w:cs="Times New Roman"/>
              </w:rPr>
            </w:pPr>
            <w:r>
              <w:rPr>
                <w:rFonts w:eastAsia="Times New Roman" w:cs="Times New Roman"/>
              </w:rPr>
              <w:t>Background Screening</w:t>
            </w:r>
          </w:p>
        </w:tc>
        <w:tc>
          <w:tcPr>
            <w:tcW w:w="0" w:type="auto"/>
            <w:vAlign w:val="center"/>
            <w:hideMark/>
          </w:tcPr>
          <w:p>
            <w:pPr>
              <w:rPr>
                <w:rFonts w:eastAsia="Times New Roman" w:cs="Times New Roman"/>
              </w:rPr>
            </w:pPr>
            <w:r>
              <w:rPr>
                <w:rFonts w:eastAsia="Times New Roman" w:cs="Times New Roman"/>
              </w:rPr>
              <w:t xml:space="preserve">Diaz </w:t>
            </w:r>
          </w:p>
        </w:tc>
        <w:tc>
          <w:tcPr>
            <w:tcW w:w="0" w:type="auto"/>
            <w:vAlign w:val="center"/>
            <w:hideMark/>
          </w:tcPr>
          <w:p>
            <w:pPr>
              <w:rPr>
                <w:rFonts w:eastAsia="Times New Roman" w:cs="Times New Roman"/>
              </w:rPr>
            </w:pPr>
            <w:r>
              <w:rPr>
                <w:rFonts w:eastAsia="Times New Roman" w:cs="Times New Roman"/>
              </w:rPr>
              <w:t xml:space="preserve">Last Action: 3/7/2014 H Now in Education Committee </w:t>
            </w:r>
            <w:r>
              <w:rPr>
                <w:rFonts w:eastAsia="Times New Roman" w:cs="Times New Roman"/>
              </w:rPr>
              <w:br/>
              <w:t xml:space="preserve">Location: In committee/council (EDC)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31" w:history="1">
              <w:r>
                <w:rPr>
                  <w:rFonts w:eastAsia="Times New Roman" w:cs="Times New Roman"/>
                  <w:b/>
                  <w:bCs/>
                  <w:color w:val="0000FF"/>
                  <w:u w:val="single"/>
                </w:rPr>
                <w:t>HB 0713</w:t>
              </w:r>
            </w:hyperlink>
          </w:p>
        </w:tc>
        <w:tc>
          <w:tcPr>
            <w:tcW w:w="0" w:type="auto"/>
            <w:vAlign w:val="center"/>
            <w:hideMark/>
          </w:tcPr>
          <w:p>
            <w:pPr>
              <w:rPr>
                <w:rFonts w:eastAsia="Times New Roman" w:cs="Times New Roman"/>
              </w:rPr>
            </w:pPr>
            <w:r>
              <w:rPr>
                <w:rFonts w:eastAsia="Times New Roman" w:cs="Times New Roman"/>
              </w:rPr>
              <w:t>Engineers</w:t>
            </w:r>
          </w:p>
        </w:tc>
        <w:tc>
          <w:tcPr>
            <w:tcW w:w="0" w:type="auto"/>
            <w:vAlign w:val="center"/>
            <w:hideMark/>
          </w:tcPr>
          <w:p>
            <w:pPr>
              <w:rPr>
                <w:rFonts w:eastAsia="Times New Roman" w:cs="Times New Roman"/>
              </w:rPr>
            </w:pPr>
            <w:r>
              <w:rPr>
                <w:rFonts w:eastAsia="Times New Roman" w:cs="Times New Roman"/>
              </w:rPr>
              <w:t xml:space="preserve">Ray </w:t>
            </w:r>
          </w:p>
        </w:tc>
        <w:tc>
          <w:tcPr>
            <w:tcW w:w="0" w:type="auto"/>
            <w:vAlign w:val="center"/>
            <w:hideMark/>
          </w:tcPr>
          <w:p>
            <w:pPr>
              <w:rPr>
                <w:rFonts w:eastAsia="Times New Roman" w:cs="Times New Roman"/>
              </w:rPr>
            </w:pPr>
            <w:r>
              <w:rPr>
                <w:rFonts w:eastAsia="Times New Roman" w:cs="Times New Roman"/>
              </w:rPr>
              <w:t xml:space="preserve">Last Action: 3/7/2014 H Now in Regulatory Affairs Committee </w:t>
            </w:r>
            <w:r>
              <w:rPr>
                <w:rFonts w:eastAsia="Times New Roman" w:cs="Times New Roman"/>
              </w:rPr>
              <w:br/>
              <w:t xml:space="preserve">Location: In committee/council (RAC) </w:t>
            </w:r>
          </w:p>
          <w:p>
            <w:pPr>
              <w:rPr>
                <w:rFonts w:eastAsia="Times New Roman" w:cs="Times New Roman"/>
              </w:rPr>
            </w:pPr>
          </w:p>
        </w:tc>
        <w:tc>
          <w:tcPr>
            <w:tcW w:w="0" w:type="auto"/>
            <w:vAlign w:val="center"/>
            <w:hideMark/>
          </w:tcPr>
          <w:p>
            <w:pPr>
              <w:rPr>
                <w:rFonts w:eastAsia="Times New Roman" w:cs="Times New Roman"/>
              </w:rPr>
            </w:pPr>
          </w:p>
        </w:tc>
      </w:tr>
      <w:tr>
        <w:trPr>
          <w:tblCellSpacing w:w="15" w:type="dxa"/>
        </w:trPr>
        <w:tc>
          <w:tcPr>
            <w:tcW w:w="0" w:type="auto"/>
            <w:vAlign w:val="center"/>
            <w:hideMark/>
          </w:tcPr>
          <w:p>
            <w:pPr>
              <w:jc w:val="center"/>
              <w:rPr>
                <w:rFonts w:eastAsia="Times New Roman" w:cs="Times New Roman"/>
                <w:b/>
                <w:bCs/>
              </w:rPr>
            </w:pPr>
            <w:hyperlink r:id="rId32" w:history="1">
              <w:r>
                <w:rPr>
                  <w:rFonts w:eastAsia="Times New Roman" w:cs="Times New Roman"/>
                  <w:b/>
                  <w:bCs/>
                  <w:color w:val="0000FF"/>
                  <w:u w:val="single"/>
                </w:rPr>
                <w:t>HB 0769</w:t>
              </w:r>
            </w:hyperlink>
          </w:p>
        </w:tc>
        <w:tc>
          <w:tcPr>
            <w:tcW w:w="0" w:type="auto"/>
            <w:vAlign w:val="center"/>
            <w:hideMark/>
          </w:tcPr>
          <w:p>
            <w:pPr>
              <w:rPr>
                <w:rFonts w:eastAsia="Times New Roman" w:cs="Times New Roman"/>
              </w:rPr>
            </w:pPr>
            <w:r>
              <w:rPr>
                <w:rFonts w:eastAsia="Times New Roman" w:cs="Times New Roman"/>
              </w:rPr>
              <w:t>Energy-efficient Appliances/Sales Tax Holiday</w:t>
            </w:r>
          </w:p>
        </w:tc>
        <w:tc>
          <w:tcPr>
            <w:tcW w:w="0" w:type="auto"/>
            <w:vAlign w:val="center"/>
            <w:hideMark/>
          </w:tcPr>
          <w:p>
            <w:pPr>
              <w:rPr>
                <w:rFonts w:eastAsia="Times New Roman" w:cs="Times New Roman"/>
              </w:rPr>
            </w:pPr>
            <w:r>
              <w:rPr>
                <w:rFonts w:eastAsia="Times New Roman" w:cs="Times New Roman"/>
              </w:rPr>
              <w:t xml:space="preserve">Rehwinkel Vasilinda </w:t>
            </w:r>
          </w:p>
        </w:tc>
        <w:tc>
          <w:tcPr>
            <w:tcW w:w="0" w:type="auto"/>
            <w:vAlign w:val="center"/>
            <w:hideMark/>
          </w:tcPr>
          <w:p>
            <w:pPr>
              <w:rPr>
                <w:rFonts w:eastAsia="Times New Roman" w:cs="Times New Roman"/>
              </w:rPr>
            </w:pPr>
            <w:r>
              <w:rPr>
                <w:rFonts w:eastAsia="Times New Roman" w:cs="Times New Roman"/>
              </w:rPr>
              <w:t xml:space="preserve">Last Action: 3/4/2014 H Introduced -HJ 65 </w:t>
            </w:r>
            <w:r>
              <w:rPr>
                <w:rFonts w:eastAsia="Times New Roman" w:cs="Times New Roman"/>
              </w:rPr>
              <w:br/>
              <w:t xml:space="preserve">Location: In committee/council (FTSC) </w:t>
            </w:r>
          </w:p>
        </w:tc>
        <w:tc>
          <w:tcPr>
            <w:tcW w:w="0" w:type="auto"/>
            <w:vAlign w:val="center"/>
            <w:hideMark/>
          </w:tcPr>
          <w:p>
            <w:pPr>
              <w:rPr>
                <w:rFonts w:eastAsia="Times New Roman" w:cs="Times New Roman"/>
                <w:sz w:val="20"/>
                <w:szCs w:val="20"/>
              </w:rPr>
            </w:pPr>
          </w:p>
        </w:tc>
      </w:tr>
    </w:tbl>
    <w:p>
      <w:pPr>
        <w:pStyle w:val="BlockText"/>
      </w:pPr>
    </w:p>
    <w:p>
      <w:pPr>
        <w:spacing w:before="100" w:beforeAutospacing="1" w:after="100" w:afterAutospacing="1"/>
        <w:outlineLvl w:val="2"/>
        <w:rPr>
          <w:rFonts w:eastAsia="Times New Roman" w:cs="Times New Roman"/>
          <w:b/>
          <w:bCs/>
          <w:vanish/>
          <w:sz w:val="27"/>
          <w:szCs w:val="27"/>
        </w:rPr>
      </w:pPr>
      <w:r>
        <w:rPr>
          <w:rFonts w:eastAsia="Times New Roman" w:cs="Times New Roman"/>
          <w:b/>
          <w:bCs/>
          <w:vanish/>
          <w:sz w:val="27"/>
          <w:szCs w:val="27"/>
        </w:rPr>
        <w:t>Senators</w:t>
      </w:r>
    </w:p>
    <w:p>
      <w:pPr>
        <w:spacing w:before="100" w:beforeAutospacing="1" w:after="100" w:afterAutospacing="1"/>
        <w:rPr>
          <w:rFonts w:eastAsia="Times New Roman" w:cs="Times New Roman"/>
          <w:vanish/>
        </w:rPr>
      </w:pPr>
      <w:r>
        <w:rPr>
          <w:rFonts w:eastAsia="Times New Roman" w:cs="Times New Roman"/>
          <w:vanish/>
        </w:rPr>
        <w:t>Below are the media and publications posted by your tracked Senators in the past 7 days. You will receive email notifications when media and publications are posted; according to your account preferences.</w:t>
      </w:r>
    </w:p>
    <w:p>
      <w:pPr>
        <w:spacing w:before="100" w:beforeAutospacing="1" w:after="100" w:afterAutospacing="1"/>
        <w:rPr>
          <w:rFonts w:eastAsia="Times New Roman" w:cs="Times New Roman"/>
          <w:vanish/>
        </w:rPr>
      </w:pPr>
      <w:r>
        <w:rPr>
          <w:rFonts w:eastAsia="Times New Roman" w:cs="Times New Roman"/>
          <w:vanish/>
        </w:rPr>
        <w:t>You are not tracking any Senators. </w:t>
      </w:r>
    </w:p>
    <w:p>
      <w:pPr>
        <w:spacing w:before="100" w:beforeAutospacing="1" w:after="100" w:afterAutospacing="1"/>
        <w:outlineLvl w:val="2"/>
        <w:rPr>
          <w:rFonts w:eastAsia="Times New Roman" w:cs="Times New Roman"/>
          <w:b/>
          <w:bCs/>
          <w:vanish/>
          <w:sz w:val="27"/>
          <w:szCs w:val="27"/>
        </w:rPr>
      </w:pPr>
      <w:r>
        <w:rPr>
          <w:rFonts w:eastAsia="Times New Roman" w:cs="Times New Roman"/>
          <w:b/>
          <w:bCs/>
          <w:vanish/>
          <w:sz w:val="27"/>
          <w:szCs w:val="27"/>
        </w:rPr>
        <w:t>Committees</w:t>
      </w:r>
    </w:p>
    <w:p>
      <w:pPr>
        <w:spacing w:before="100" w:beforeAutospacing="1" w:after="100" w:afterAutospacing="1"/>
        <w:rPr>
          <w:rFonts w:eastAsia="Times New Roman" w:cs="Times New Roman"/>
          <w:vanish/>
        </w:rPr>
      </w:pPr>
      <w:r>
        <w:rPr>
          <w:rFonts w:eastAsia="Times New Roman" w:cs="Times New Roman"/>
          <w:vanish/>
        </w:rPr>
        <w:t>Below are the meeting records and publications posted by your tracked committees for the next or previous 8 days. You will receive email notifications when committee meeting records and publications are posted; according to your account preferences.</w:t>
      </w:r>
    </w:p>
    <w:p>
      <w:pPr>
        <w:spacing w:before="100" w:beforeAutospacing="1" w:after="100" w:afterAutospacing="1"/>
        <w:rPr>
          <w:rFonts w:eastAsia="Times New Roman" w:cs="Times New Roman"/>
          <w:vanish/>
        </w:rPr>
      </w:pPr>
      <w:r>
        <w:rPr>
          <w:rFonts w:eastAsia="Times New Roman" w:cs="Times New Roman"/>
          <w:vanish/>
        </w:rPr>
        <w:t>You are not tracking any Committees. </w:t>
      </w:r>
    </w:p>
    <w:p>
      <w:pPr>
        <w:spacing w:before="100" w:beforeAutospacing="1" w:after="100" w:afterAutospacing="1"/>
        <w:outlineLvl w:val="2"/>
        <w:rPr>
          <w:rFonts w:eastAsia="Times New Roman" w:cs="Times New Roman"/>
          <w:b/>
          <w:bCs/>
          <w:vanish/>
          <w:sz w:val="27"/>
          <w:szCs w:val="27"/>
        </w:rPr>
      </w:pPr>
      <w:r>
        <w:rPr>
          <w:rFonts w:eastAsia="Times New Roman" w:cs="Times New Roman"/>
          <w:b/>
          <w:bCs/>
          <w:vanish/>
          <w:sz w:val="27"/>
          <w:szCs w:val="27"/>
        </w:rPr>
        <w:t>Offices</w:t>
      </w:r>
    </w:p>
    <w:p>
      <w:pPr>
        <w:spacing w:before="100" w:beforeAutospacing="1" w:after="100" w:afterAutospacing="1"/>
        <w:rPr>
          <w:rFonts w:eastAsia="Times New Roman" w:cs="Times New Roman"/>
          <w:vanish/>
        </w:rPr>
      </w:pPr>
      <w:r>
        <w:rPr>
          <w:rFonts w:eastAsia="Times New Roman" w:cs="Times New Roman"/>
          <w:vanish/>
        </w:rPr>
        <w:lastRenderedPageBreak/>
        <w:t>Below are the media and publications posted by your tracked Offices in the past 7 days. You will receive email notifications when media and publications are posted; according to your account preferences.</w:t>
      </w:r>
    </w:p>
    <w:p>
      <w:pPr>
        <w:spacing w:before="100" w:beforeAutospacing="1" w:after="100" w:afterAutospacing="1"/>
        <w:rPr>
          <w:rFonts w:eastAsia="Times New Roman" w:cs="Times New Roman"/>
          <w:vanish/>
        </w:rPr>
      </w:pPr>
      <w:r>
        <w:rPr>
          <w:rFonts w:eastAsia="Times New Roman" w:cs="Times New Roman"/>
          <w:vanish/>
        </w:rPr>
        <w:t>You are not tracking any Offices. </w:t>
      </w:r>
    </w:p>
    <w:p>
      <w:pPr>
        <w:spacing w:before="100" w:beforeAutospacing="1" w:after="100" w:afterAutospacing="1"/>
        <w:outlineLvl w:val="2"/>
        <w:rPr>
          <w:rFonts w:eastAsia="Times New Roman" w:cs="Times New Roman"/>
          <w:b/>
          <w:bCs/>
          <w:vanish/>
          <w:sz w:val="27"/>
          <w:szCs w:val="27"/>
        </w:rPr>
      </w:pPr>
      <w:r>
        <w:rPr>
          <w:rFonts w:eastAsia="Times New Roman" w:cs="Times New Roman"/>
          <w:b/>
          <w:bCs/>
          <w:vanish/>
          <w:sz w:val="27"/>
          <w:szCs w:val="27"/>
        </w:rPr>
        <w:t>Media</w:t>
      </w:r>
    </w:p>
    <w:p>
      <w:pPr>
        <w:spacing w:before="100" w:beforeAutospacing="1" w:after="100" w:afterAutospacing="1"/>
        <w:rPr>
          <w:rFonts w:eastAsia="Times New Roman" w:cs="Times New Roman"/>
          <w:vanish/>
        </w:rPr>
      </w:pPr>
      <w:r>
        <w:rPr>
          <w:rFonts w:eastAsia="Times New Roman" w:cs="Times New Roman"/>
          <w:vanish/>
        </w:rPr>
        <w:t>Below are the media and publications posted in the past 7 days. You will receive email notifications when Press Releases, Publications, and Speeches are posted; according to your account preferences.</w:t>
      </w:r>
    </w:p>
    <w:p>
      <w:pPr>
        <w:spacing w:before="100" w:beforeAutospacing="1" w:after="100" w:afterAutospacing="1"/>
        <w:rPr>
          <w:rFonts w:eastAsia="Times New Roman" w:cs="Times New Roman"/>
          <w:vanish/>
        </w:rPr>
      </w:pPr>
      <w:r>
        <w:rPr>
          <w:rFonts w:eastAsia="Times New Roman" w:cs="Times New Roman"/>
          <w:vanish/>
        </w:rPr>
        <w:t>You are not tracking any Media. </w:t>
      </w:r>
    </w:p>
    <w:p>
      <w:pPr>
        <w:pStyle w:val="BlockText"/>
      </w:pPr>
    </w:p>
    <w:p>
      <w:pPr>
        <w:pStyle w:val="BlockText"/>
      </w:pPr>
      <w:r>
        <w:t>Respectfully submitted,</w:t>
      </w:r>
    </w:p>
    <w:p>
      <w:pPr>
        <w:pStyle w:val="BlockText"/>
      </w:pPr>
      <w:r>
        <w:t>Fred R. Dudley, Esq.</w:t>
      </w:r>
    </w:p>
    <w:p>
      <w:pPr>
        <w:pStyle w:val="BlockText"/>
      </w:pPr>
      <w:r>
        <w:t>Seller E. Sellers, Esq.</w:t>
      </w:r>
    </w:p>
    <w:p>
      <w:pPr>
        <w:pStyle w:val="BlockText"/>
      </w:pPr>
      <w:r>
        <w:t>March 9, 2014.</w:t>
      </w:r>
    </w:p>
    <w:p>
      <w:pPr>
        <w:pStyle w:val="BlockText"/>
        <w:ind w:left="360"/>
      </w:pPr>
    </w:p>
    <w:p>
      <w:pPr>
        <w:pStyle w:val="BlockText"/>
        <w:ind w:left="360"/>
      </w:pPr>
    </w:p>
    <w:sectPr>
      <w:footerReference w:type="default" r:id="rId33"/>
      <w:footerReference w:type="first" r:id="rId34"/>
      <w:pgSz w:w="12240" w:h="15840"/>
      <w:pgMar w:top="1152" w:right="1440" w:bottom="1440"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NewRomanPSMT,Italic">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rPr>
        <w:rStyle w:val="DocID"/>
        <w:sz w:val="24"/>
      </w:rPr>
    </w:pPr>
    <w:r>
      <w:tab/>
    </w:r>
    <w:fldSimple w:instr=" PAGE   \* MERGEFORMAT ">
      <w:r>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Pr>
        <w:noProof/>
        <w:sz w:val="20"/>
      </w:rPr>
      <w:instrText>1</w:instrText>
    </w:r>
    <w:r>
      <w:rPr>
        <w:sz w:val="20"/>
      </w:rPr>
      <w:fldChar w:fldCharType="end"/>
    </w:r>
    <w:r>
      <w:rPr>
        <w:sz w:val="20"/>
      </w:rPr>
      <w:instrText xml:space="preserve"> = 1 </w:instrText>
    </w:r>
    <w:r>
      <w:rPr>
        <w:rStyle w:val="DocID"/>
      </w:rPr>
      <w:instrText>#12612613_v1</w:instrText>
    </w:r>
    <w:r>
      <w:instrText xml:space="preserve"> ""</w:instrText>
    </w:r>
    <w:r>
      <w:rPr>
        <w:sz w:val="20"/>
      </w:rPr>
      <w:instrText xml:space="preserve"> </w:instrText>
    </w:r>
    <w:r>
      <w:rPr>
        <w:sz w:val="20"/>
      </w:rPr>
      <w:fldChar w:fldCharType="separate"/>
    </w:r>
    <w:r>
      <w:rPr>
        <w:rStyle w:val="DocID"/>
        <w:noProof/>
      </w:rPr>
      <w:t>#12612613_v1</w:t>
    </w:r>
    <w:r>
      <w:rPr>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 w:id="1">
    <w:p>
      <w:pPr>
        <w:pStyle w:val="BlockText"/>
      </w:pPr>
      <w:r>
        <w:rPr>
          <w:rStyle w:val="FootnoteReference"/>
        </w:rPr>
        <w:footnoteRef/>
      </w:r>
      <w:r>
        <w:t xml:space="preserve"> The Florida Building Commission is </w:t>
      </w:r>
      <w:r>
        <w:rPr>
          <w:b/>
          <w:u w:val="single"/>
        </w:rPr>
        <w:t>not</w:t>
      </w:r>
      <w:r>
        <w:t xml:space="preserve"> allowed to grant variances or waivers from the Florida Building Code, expect as to handicapped accessibility issues. As part of the TRANSFER of this commission from the now-defunct Department of Community Affairs to the Department of Business and Professional Regulation, all rules from former Chapter 9N have been TRANSFERRED to Chapter 61G20, FAC.</w:t>
      </w:r>
    </w:p>
    <w:p>
      <w:pPr>
        <w:pStyle w:val="BlockText"/>
      </w:pPr>
    </w:p>
    <w:p>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1FF307D"/>
    <w:multiLevelType w:val="hybridMultilevel"/>
    <w:tmpl w:val="263641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18433A"/>
    <w:multiLevelType w:val="hybridMultilevel"/>
    <w:tmpl w:val="68A87FEE"/>
    <w:lvl w:ilvl="0" w:tplc="AA0C1DB8">
      <w:start w:val="1"/>
      <w:numFmt w:val="upp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64280F"/>
    <w:multiLevelType w:val="hybridMultilevel"/>
    <w:tmpl w:val="EDC05C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492F84"/>
    <w:multiLevelType w:val="hybridMultilevel"/>
    <w:tmpl w:val="0F661838"/>
    <w:lvl w:ilvl="0" w:tplc="8C4829F0">
      <w:start w:val="1"/>
      <w:numFmt w:val="upperLetter"/>
      <w:lvlText w:val="%1."/>
      <w:lvlJc w:val="left"/>
      <w:pPr>
        <w:ind w:left="720" w:hanging="360"/>
      </w:pPr>
      <w:rPr>
        <w:rFonts w:ascii="Times New Roman" w:eastAsiaTheme="minorEastAsia" w:hAnsi="Times New Roman" w:cstheme="minorBidi"/>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587DF6"/>
    <w:multiLevelType w:val="hybridMultilevel"/>
    <w:tmpl w:val="EB049B4A"/>
    <w:lvl w:ilvl="0" w:tplc="47C8494A">
      <w:start w:val="1"/>
      <w:numFmt w:val="upp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AE3699"/>
    <w:multiLevelType w:val="hybridMultilevel"/>
    <w:tmpl w:val="3F589A60"/>
    <w:lvl w:ilvl="0" w:tplc="D966982C">
      <w:start w:val="1"/>
      <w:numFmt w:val="decimal"/>
      <w:lvlText w:val="%1."/>
      <w:lvlJc w:val="left"/>
      <w:pPr>
        <w:tabs>
          <w:tab w:val="num" w:pos="720"/>
        </w:tabs>
        <w:ind w:left="720" w:hanging="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C334021"/>
    <w:multiLevelType w:val="hybridMultilevel"/>
    <w:tmpl w:val="A62C8AA6"/>
    <w:lvl w:ilvl="0" w:tplc="AAE23B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E963C8E"/>
    <w:multiLevelType w:val="hybridMultilevel"/>
    <w:tmpl w:val="02A84288"/>
    <w:lvl w:ilvl="0" w:tplc="C42EA7F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C84AA5"/>
    <w:multiLevelType w:val="hybridMultilevel"/>
    <w:tmpl w:val="DB4C8B38"/>
    <w:lvl w:ilvl="0" w:tplc="0409000F">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C4D7AA1"/>
    <w:multiLevelType w:val="hybridMultilevel"/>
    <w:tmpl w:val="92A67F70"/>
    <w:lvl w:ilvl="0" w:tplc="7DB6166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202D11F4"/>
    <w:multiLevelType w:val="hybridMultilevel"/>
    <w:tmpl w:val="503A2838"/>
    <w:lvl w:ilvl="0" w:tplc="2BB08D2C">
      <w:start w:val="7"/>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12D7559"/>
    <w:multiLevelType w:val="hybridMultilevel"/>
    <w:tmpl w:val="7504836A"/>
    <w:lvl w:ilvl="0" w:tplc="203046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3E23D22"/>
    <w:multiLevelType w:val="hybridMultilevel"/>
    <w:tmpl w:val="6EEE14EE"/>
    <w:lvl w:ilvl="0" w:tplc="E81E7D8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251D7BC2"/>
    <w:multiLevelType w:val="hybridMultilevel"/>
    <w:tmpl w:val="1E6EC06E"/>
    <w:lvl w:ilvl="0" w:tplc="1C621A80">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5B3B5F"/>
    <w:multiLevelType w:val="hybridMultilevel"/>
    <w:tmpl w:val="9948D060"/>
    <w:lvl w:ilvl="0" w:tplc="954E7D34">
      <w:start w:val="24"/>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350E0A57"/>
    <w:multiLevelType w:val="hybridMultilevel"/>
    <w:tmpl w:val="0492CBEC"/>
    <w:lvl w:ilvl="0" w:tplc="7E4CA22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71380066">
      <w:start w:val="1"/>
      <w:numFmt w:val="decimal"/>
      <w:lvlText w:val="%4."/>
      <w:lvlJc w:val="left"/>
      <w:pPr>
        <w:ind w:left="3240" w:hanging="360"/>
      </w:pPr>
      <w:rPr>
        <w:rFonts w:ascii="Times New Roman" w:eastAsiaTheme="minorEastAsia" w:hAnsi="Times New Roman" w:cstheme="minorBidi"/>
      </w:rPr>
    </w:lvl>
    <w:lvl w:ilvl="4" w:tplc="32263AEA">
      <w:start w:val="1"/>
      <w:numFmt w:val="upperLetter"/>
      <w:lvlText w:val="%5."/>
      <w:lvlJc w:val="left"/>
      <w:pPr>
        <w:ind w:left="3960" w:hanging="360"/>
      </w:pPr>
      <w:rPr>
        <w:rFonts w:hint="default"/>
      </w:rPr>
    </w:lvl>
    <w:lvl w:ilvl="5" w:tplc="87729F82">
      <w:start w:val="1"/>
      <w:numFmt w:val="decimal"/>
      <w:lvlText w:val="%6"/>
      <w:lvlJc w:val="left"/>
      <w:pPr>
        <w:ind w:left="4860" w:hanging="360"/>
      </w:pPr>
      <w:rPr>
        <w:rFonts w:hint="default"/>
        <w:u w:val="single"/>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6535926"/>
    <w:multiLevelType w:val="hybridMultilevel"/>
    <w:tmpl w:val="570E0CC0"/>
    <w:lvl w:ilvl="0" w:tplc="81E011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E3B317B"/>
    <w:multiLevelType w:val="hybridMultilevel"/>
    <w:tmpl w:val="BEF40A0E"/>
    <w:lvl w:ilvl="0" w:tplc="D88035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FFE3036"/>
    <w:multiLevelType w:val="hybridMultilevel"/>
    <w:tmpl w:val="62AA8572"/>
    <w:lvl w:ilvl="0" w:tplc="5CE094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9230C63"/>
    <w:multiLevelType w:val="hybridMultilevel"/>
    <w:tmpl w:val="0D9A195A"/>
    <w:lvl w:ilvl="0" w:tplc="986AA9F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A6B15"/>
    <w:multiLevelType w:val="hybridMultilevel"/>
    <w:tmpl w:val="BE764DC2"/>
    <w:lvl w:ilvl="0" w:tplc="B2AE5720">
      <w:start w:val="6"/>
      <w:numFmt w:val="lowerRoman"/>
      <w:lvlText w:val="%1."/>
      <w:lvlJc w:val="left"/>
      <w:pPr>
        <w:ind w:left="2880" w:hanging="72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4AF019E6"/>
    <w:multiLevelType w:val="hybridMultilevel"/>
    <w:tmpl w:val="6BD4438E"/>
    <w:lvl w:ilvl="0" w:tplc="E0968CD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4E7348A4"/>
    <w:multiLevelType w:val="hybridMultilevel"/>
    <w:tmpl w:val="40CE732A"/>
    <w:lvl w:ilvl="0" w:tplc="E5D4B862">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9520BB"/>
    <w:multiLevelType w:val="hybridMultilevel"/>
    <w:tmpl w:val="F3CEDAF6"/>
    <w:lvl w:ilvl="0" w:tplc="C5A49FB8">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2C524B"/>
    <w:multiLevelType w:val="hybridMultilevel"/>
    <w:tmpl w:val="824871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A890759"/>
    <w:multiLevelType w:val="hybridMultilevel"/>
    <w:tmpl w:val="11E0FCB4"/>
    <w:lvl w:ilvl="0" w:tplc="6EA29A4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C47503B"/>
    <w:multiLevelType w:val="hybridMultilevel"/>
    <w:tmpl w:val="7A487CFA"/>
    <w:lvl w:ilvl="0" w:tplc="4E464F58">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0490E0F"/>
    <w:multiLevelType w:val="hybridMultilevel"/>
    <w:tmpl w:val="3118E95A"/>
    <w:lvl w:ilvl="0" w:tplc="34305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1B05D0D"/>
    <w:multiLevelType w:val="hybridMultilevel"/>
    <w:tmpl w:val="6EC4E8C8"/>
    <w:lvl w:ilvl="0" w:tplc="4386FB8A">
      <w:start w:val="1"/>
      <w:numFmt w:val="decimal"/>
      <w:lvlRestart w:val="0"/>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B948A0"/>
    <w:multiLevelType w:val="hybridMultilevel"/>
    <w:tmpl w:val="242E6008"/>
    <w:lvl w:ilvl="0" w:tplc="FA343D6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651353AC"/>
    <w:multiLevelType w:val="hybridMultilevel"/>
    <w:tmpl w:val="BCF6B1F0"/>
    <w:lvl w:ilvl="0" w:tplc="168C59FE">
      <w:start w:val="1"/>
      <w:numFmt w:val="lowerLetter"/>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69C4856"/>
    <w:multiLevelType w:val="hybridMultilevel"/>
    <w:tmpl w:val="7F6CBF66"/>
    <w:lvl w:ilvl="0" w:tplc="46A69FFE">
      <w:start w:val="1"/>
      <w:numFmt w:val="lowerLetter"/>
      <w:lvlText w:val="%1."/>
      <w:lvlJc w:val="left"/>
      <w:pPr>
        <w:tabs>
          <w:tab w:val="num" w:pos="108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F60B97"/>
    <w:multiLevelType w:val="hybridMultilevel"/>
    <w:tmpl w:val="6B503E2A"/>
    <w:lvl w:ilvl="0" w:tplc="9D60DF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2E92B24"/>
    <w:multiLevelType w:val="hybridMultilevel"/>
    <w:tmpl w:val="FB826694"/>
    <w:lvl w:ilvl="0" w:tplc="31609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7C17189"/>
    <w:multiLevelType w:val="hybridMultilevel"/>
    <w:tmpl w:val="19D0C8C2"/>
    <w:lvl w:ilvl="0" w:tplc="ACB645AA">
      <w:start w:val="1"/>
      <w:numFmt w:val="decimal"/>
      <w:lvlText w:val="%1."/>
      <w:lvlJc w:val="left"/>
      <w:pPr>
        <w:tabs>
          <w:tab w:val="num" w:pos="1080"/>
        </w:tabs>
        <w:ind w:left="0" w:firstLine="72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DD94D11"/>
    <w:multiLevelType w:val="hybridMultilevel"/>
    <w:tmpl w:val="2C10A7C6"/>
    <w:lvl w:ilvl="0" w:tplc="8CCCF6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DE50282"/>
    <w:multiLevelType w:val="hybridMultilevel"/>
    <w:tmpl w:val="94E0E7DC"/>
    <w:lvl w:ilvl="0" w:tplc="844E2756">
      <w:start w:val="1"/>
      <w:numFmt w:val="decimal"/>
      <w:lvlText w:val="%1."/>
      <w:lvlJc w:val="left"/>
      <w:pPr>
        <w:tabs>
          <w:tab w:val="num" w:pos="1080"/>
        </w:tabs>
        <w:ind w:left="0" w:firstLine="72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7F6D47AF"/>
    <w:multiLevelType w:val="hybridMultilevel"/>
    <w:tmpl w:val="E51E6F10"/>
    <w:lvl w:ilvl="0" w:tplc="D83C1BDA">
      <w:start w:val="1"/>
      <w:numFmt w:val="decimal"/>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5"/>
  </w:num>
  <w:num w:numId="3">
    <w:abstractNumId w:val="0"/>
  </w:num>
  <w:num w:numId="4">
    <w:abstractNumId w:val="10"/>
  </w:num>
  <w:num w:numId="5">
    <w:abstractNumId w:val="38"/>
  </w:num>
  <w:num w:numId="6">
    <w:abstractNumId w:val="31"/>
  </w:num>
  <w:num w:numId="7">
    <w:abstractNumId w:val="28"/>
  </w:num>
  <w:num w:numId="8">
    <w:abstractNumId w:val="46"/>
  </w:num>
  <w:num w:numId="9">
    <w:abstractNumId w:val="29"/>
  </w:num>
  <w:num w:numId="10">
    <w:abstractNumId w:val="6"/>
  </w:num>
  <w:num w:numId="11">
    <w:abstractNumId w:val="5"/>
  </w:num>
  <w:num w:numId="12">
    <w:abstractNumId w:val="8"/>
  </w:num>
  <w:num w:numId="13">
    <w:abstractNumId w:val="19"/>
  </w:num>
  <w:num w:numId="14">
    <w:abstractNumId w:val="37"/>
  </w:num>
  <w:num w:numId="15">
    <w:abstractNumId w:val="42"/>
  </w:num>
  <w:num w:numId="16">
    <w:abstractNumId w:val="44"/>
  </w:num>
  <w:num w:numId="17">
    <w:abstractNumId w:val="33"/>
  </w:num>
  <w:num w:numId="18">
    <w:abstractNumId w:val="9"/>
  </w:num>
  <w:num w:numId="19">
    <w:abstractNumId w:val="40"/>
  </w:num>
  <w:num w:numId="20">
    <w:abstractNumId w:val="45"/>
  </w:num>
  <w:num w:numId="21">
    <w:abstractNumId w:val="32"/>
  </w:num>
  <w:num w:numId="22">
    <w:abstractNumId w:val="47"/>
  </w:num>
  <w:num w:numId="23">
    <w:abstractNumId w:val="13"/>
  </w:num>
  <w:num w:numId="24">
    <w:abstractNumId w:val="11"/>
  </w:num>
  <w:num w:numId="25">
    <w:abstractNumId w:val="16"/>
  </w:num>
  <w:num w:numId="26">
    <w:abstractNumId w:val="3"/>
  </w:num>
  <w:num w:numId="27">
    <w:abstractNumId w:val="1"/>
  </w:num>
  <w:num w:numId="28">
    <w:abstractNumId w:val="22"/>
  </w:num>
  <w:num w:numId="29">
    <w:abstractNumId w:val="23"/>
  </w:num>
  <w:num w:numId="30">
    <w:abstractNumId w:val="7"/>
  </w:num>
  <w:num w:numId="31">
    <w:abstractNumId w:val="18"/>
  </w:num>
  <w:num w:numId="32">
    <w:abstractNumId w:val="21"/>
  </w:num>
  <w:num w:numId="33">
    <w:abstractNumId w:val="27"/>
  </w:num>
  <w:num w:numId="34">
    <w:abstractNumId w:val="17"/>
  </w:num>
  <w:num w:numId="35">
    <w:abstractNumId w:val="25"/>
  </w:num>
  <w:num w:numId="36">
    <w:abstractNumId w:val="24"/>
  </w:num>
  <w:num w:numId="37">
    <w:abstractNumId w:val="39"/>
  </w:num>
  <w:num w:numId="38">
    <w:abstractNumId w:val="43"/>
  </w:num>
  <w:num w:numId="39">
    <w:abstractNumId w:val="41"/>
  </w:num>
  <w:num w:numId="40">
    <w:abstractNumId w:val="36"/>
  </w:num>
  <w:num w:numId="41">
    <w:abstractNumId w:val="34"/>
  </w:num>
  <w:num w:numId="42">
    <w:abstractNumId w:val="14"/>
  </w:num>
  <w:num w:numId="43">
    <w:abstractNumId w:val="26"/>
  </w:num>
  <w:num w:numId="44">
    <w:abstractNumId w:val="20"/>
  </w:num>
  <w:num w:numId="45">
    <w:abstractNumId w:val="15"/>
  </w:num>
  <w:num w:numId="46">
    <w:abstractNumId w:val="4"/>
  </w:num>
  <w:num w:numId="47">
    <w:abstractNumId w:val="12"/>
  </w:num>
  <w:num w:numId="48">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stylePaneFormatFilter w:val="1021"/>
  <w:stylePaneSortMethod w:val="0000"/>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docVars>
    <w:docVar w:name="LegacyDocIDRemoved" w:val="True"/>
  </w:docVar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caption" w:uiPriority="35" w:qFormat="1"/>
    <w:lsdException w:name="List Bullet" w:semiHidden="0" w:uiPriority="0" w:unhideWhenUsed="0"/>
    <w:lsdException w:name="List Bullet 2"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Block Text" w:uiPriority="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BodyText"/>
    <w:link w:val="Heading1Char"/>
    <w:uiPriority w:val="9"/>
    <w:qFormat/>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240"/>
      <w:ind w:firstLine="720"/>
    </w:pPr>
  </w:style>
  <w:style w:type="character" w:customStyle="1" w:styleId="BodyTextChar">
    <w:name w:val="Body Text Char"/>
    <w:basedOn w:val="DefaultParagraphFont"/>
    <w:link w:val="BodyText"/>
  </w:style>
  <w:style w:type="character" w:customStyle="1" w:styleId="Heading1Char">
    <w:name w:val="Heading 1 Char"/>
    <w:basedOn w:val="DefaultParagraphFont"/>
    <w:link w:val="Heading1"/>
    <w:uiPriority w:val="9"/>
    <w:rPr>
      <w:rFonts w:eastAsiaTheme="majorEastAsia" w:cstheme="majorBidi"/>
      <w:b/>
      <w:bCs/>
      <w:szCs w:val="28"/>
    </w:rPr>
  </w:style>
  <w:style w:type="character" w:customStyle="1" w:styleId="Heading2Char">
    <w:name w:val="Heading 2 Char"/>
    <w:basedOn w:val="DefaultParagraphFont"/>
    <w:link w:val="Heading2"/>
    <w:uiPriority w:val="9"/>
    <w:semiHidden/>
    <w:rPr>
      <w:rFonts w:eastAsiaTheme="majorEastAsia" w:cstheme="majorBidi"/>
      <w:b/>
      <w:bCs/>
      <w:szCs w:val="26"/>
    </w:rPr>
  </w:style>
  <w:style w:type="character" w:customStyle="1" w:styleId="Heading3Char">
    <w:name w:val="Heading 3 Char"/>
    <w:basedOn w:val="DefaultParagraphFont"/>
    <w:link w:val="Heading3"/>
    <w:uiPriority w:val="9"/>
    <w:semiHidden/>
    <w:rPr>
      <w:rFonts w:eastAsiaTheme="majorEastAsia" w:cstheme="majorBidi"/>
      <w:b/>
      <w:bCs/>
    </w:rPr>
  </w:style>
  <w:style w:type="character" w:customStyle="1" w:styleId="Heading4Char">
    <w:name w:val="Heading 4 Char"/>
    <w:basedOn w:val="DefaultParagraphFont"/>
    <w:link w:val="Heading4"/>
    <w:uiPriority w:val="9"/>
    <w:semiHidden/>
    <w:rPr>
      <w:rFonts w:eastAsiaTheme="majorEastAsia" w:cstheme="majorBidi"/>
      <w:bCs/>
      <w:iCs/>
    </w:rPr>
  </w:style>
  <w:style w:type="character" w:customStyle="1" w:styleId="Heading5Char">
    <w:name w:val="Heading 5 Char"/>
    <w:basedOn w:val="DefaultParagraphFont"/>
    <w:link w:val="Heading5"/>
    <w:uiPriority w:val="9"/>
    <w:semiHidden/>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Cs/>
    </w:rPr>
  </w:style>
  <w:style w:type="character" w:customStyle="1" w:styleId="Heading7Char">
    <w:name w:val="Heading 7 Char"/>
    <w:basedOn w:val="DefaultParagraphFont"/>
    <w:link w:val="Heading7"/>
    <w:uiPriority w:val="9"/>
    <w:semiHidden/>
    <w:rPr>
      <w:rFonts w:eastAsiaTheme="majorEastAsia" w:cstheme="majorBidi"/>
      <w:iCs/>
    </w:rPr>
  </w:style>
  <w:style w:type="character" w:customStyle="1" w:styleId="Heading8Char">
    <w:name w:val="Heading 8 Char"/>
    <w:basedOn w:val="DefaultParagraphFont"/>
    <w:link w:val="Heading8"/>
    <w:uiPriority w:val="9"/>
    <w:semiHidden/>
    <w:rPr>
      <w:rFonts w:eastAsiaTheme="majorEastAsia" w:cstheme="majorBidi"/>
      <w:szCs w:val="20"/>
    </w:rPr>
  </w:style>
  <w:style w:type="character" w:customStyle="1" w:styleId="Heading9Char">
    <w:name w:val="Heading 9 Char"/>
    <w:basedOn w:val="DefaultParagraphFont"/>
    <w:link w:val="Heading9"/>
    <w:uiPriority w:val="9"/>
    <w:semiHidden/>
    <w:rPr>
      <w:rFonts w:eastAsiaTheme="majorEastAsia" w:cstheme="majorBidi"/>
      <w:iCs/>
      <w:szCs w:val="20"/>
    </w:rPr>
  </w:style>
  <w:style w:type="paragraph" w:styleId="BlockText">
    <w:name w:val="Block Text"/>
    <w:basedOn w:val="Normal"/>
    <w:qFormat/>
    <w:pPr>
      <w:jc w:val="both"/>
    </w:pPr>
    <w:rPr>
      <w:rFonts w:eastAsiaTheme="minorEastAsia"/>
      <w:iCs/>
    </w:rPr>
  </w:style>
  <w:style w:type="paragraph" w:styleId="BodyText2">
    <w:name w:val="Body Text 2"/>
    <w:basedOn w:val="Normal"/>
    <w:link w:val="BodyText2Char"/>
    <w:pPr>
      <w:spacing w:line="480" w:lineRule="auto"/>
      <w:ind w:firstLine="720"/>
    </w:pPr>
  </w:style>
  <w:style w:type="character" w:customStyle="1" w:styleId="BodyText2Char">
    <w:name w:val="Body Text 2 Char"/>
    <w:basedOn w:val="DefaultParagraphFont"/>
    <w:link w:val="BodyText2"/>
  </w:style>
  <w:style w:type="paragraph" w:styleId="Quote">
    <w:name w:val="Quote"/>
    <w:basedOn w:val="Normal"/>
    <w:link w:val="QuoteChar"/>
    <w:uiPriority w:val="29"/>
    <w:qFormat/>
    <w:pPr>
      <w:spacing w:after="240"/>
      <w:ind w:left="720" w:right="720"/>
    </w:pPr>
    <w:rPr>
      <w:iCs/>
    </w:rPr>
  </w:style>
  <w:style w:type="character" w:customStyle="1" w:styleId="QuoteChar">
    <w:name w:val="Quote Char"/>
    <w:basedOn w:val="DefaultParagraphFont"/>
    <w:link w:val="Quote"/>
    <w:uiPriority w:val="29"/>
    <w:rPr>
      <w:iCs/>
    </w:rPr>
  </w:style>
  <w:style w:type="paragraph" w:customStyle="1" w:styleId="Quote2">
    <w:name w:val="Quote 2"/>
    <w:basedOn w:val="Normal"/>
    <w:link w:val="Quote2Char"/>
    <w:qFormat/>
    <w:pPr>
      <w:spacing w:line="480" w:lineRule="auto"/>
      <w:ind w:left="720" w:right="720"/>
    </w:pPr>
  </w:style>
  <w:style w:type="character" w:customStyle="1" w:styleId="Quote2Char">
    <w:name w:val="Quote 2 Char"/>
    <w:basedOn w:val="DefaultParagraphFont"/>
    <w:link w:val="Quote2"/>
  </w:style>
  <w:style w:type="paragraph" w:styleId="Title">
    <w:name w:val="Title"/>
    <w:basedOn w:val="Normal"/>
    <w:next w:val="BodyText"/>
    <w:link w:val="TitleChar"/>
    <w:uiPriority w:val="10"/>
    <w:qFormat/>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Pr>
      <w:rFonts w:eastAsiaTheme="majorEastAsia" w:cstheme="majorBidi"/>
      <w:kern w:val="28"/>
      <w:szCs w:val="52"/>
      <w:u w:val="single"/>
    </w:rPr>
  </w:style>
  <w:style w:type="paragraph" w:styleId="Subtitle">
    <w:name w:val="Subtitle"/>
    <w:basedOn w:val="Normal"/>
    <w:next w:val="BodyText"/>
    <w:link w:val="SubtitleChar"/>
    <w:uiPriority w:val="11"/>
    <w:qFormat/>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Pr>
      <w:rFonts w:eastAsiaTheme="majorEastAsia" w:cstheme="majorBidi"/>
      <w:iCs/>
      <w:u w:val="single"/>
    </w:rPr>
  </w:style>
  <w:style w:type="paragraph" w:styleId="Header">
    <w:name w:val="header"/>
    <w:basedOn w:val="Normal"/>
    <w:link w:val="HeaderChar"/>
    <w:uiPriority w:val="99"/>
    <w:semiHidden/>
    <w:unhideWhenUsed/>
    <w:pPr>
      <w:tabs>
        <w:tab w:val="center" w:pos="4680"/>
        <w:tab w:val="right" w:pos="9360"/>
      </w:tabs>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customStyle="1" w:styleId="BlockText2">
    <w:name w:val="Block Text 2"/>
    <w:basedOn w:val="Normal"/>
    <w:qFormat/>
    <w:pPr>
      <w:spacing w:line="480" w:lineRule="auto"/>
    </w:pPr>
  </w:style>
  <w:style w:type="paragraph" w:customStyle="1" w:styleId="BodyTextJ">
    <w:name w:val="Body Text J"/>
    <w:basedOn w:val="Normal"/>
    <w:qFormat/>
    <w:pPr>
      <w:spacing w:after="240"/>
      <w:ind w:firstLine="720"/>
      <w:jc w:val="both"/>
    </w:pPr>
  </w:style>
  <w:style w:type="paragraph" w:customStyle="1" w:styleId="BodyText2J">
    <w:name w:val="Body Text 2J"/>
    <w:basedOn w:val="Normal"/>
    <w:qFormat/>
    <w:pPr>
      <w:spacing w:line="480" w:lineRule="auto"/>
      <w:ind w:firstLine="720"/>
      <w:jc w:val="both"/>
    </w:pPr>
  </w:style>
  <w:style w:type="paragraph" w:customStyle="1" w:styleId="BlockTextJ">
    <w:name w:val="Block Text J"/>
    <w:basedOn w:val="Normal"/>
    <w:qFormat/>
    <w:pPr>
      <w:spacing w:after="240"/>
      <w:jc w:val="both"/>
    </w:pPr>
  </w:style>
  <w:style w:type="paragraph" w:customStyle="1" w:styleId="BlockText2J">
    <w:name w:val="Block Text 2J"/>
    <w:basedOn w:val="Normal"/>
    <w:qFormat/>
    <w:pPr>
      <w:spacing w:line="480" w:lineRule="auto"/>
      <w:jc w:val="both"/>
    </w:pPr>
  </w:style>
  <w:style w:type="paragraph" w:customStyle="1" w:styleId="QuoteJ">
    <w:name w:val="Quote J"/>
    <w:basedOn w:val="Normal"/>
    <w:qFormat/>
    <w:pPr>
      <w:spacing w:after="240"/>
      <w:ind w:left="720" w:right="720"/>
      <w:jc w:val="both"/>
    </w:pPr>
  </w:style>
  <w:style w:type="paragraph" w:customStyle="1" w:styleId="Quote2J">
    <w:name w:val="Quote 2J"/>
    <w:basedOn w:val="Normal"/>
    <w:qFormat/>
    <w:pPr>
      <w:spacing w:line="480" w:lineRule="auto"/>
      <w:ind w:left="720" w:right="720"/>
      <w:jc w:val="both"/>
    </w:pPr>
  </w:style>
  <w:style w:type="paragraph" w:customStyle="1" w:styleId="TaxDisclaimer">
    <w:name w:val="TaxDisclaimer"/>
    <w:basedOn w:val="Normal"/>
    <w:semiHidden/>
    <w:unhideWhenUsed/>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pPr>
      <w:jc w:val="center"/>
    </w:pPr>
    <w:rPr>
      <w:rFonts w:eastAsia="Times New Roman" w:cs="Times New Roman"/>
      <w:color w:val="FF0000"/>
      <w:sz w:val="18"/>
      <w:szCs w:val="18"/>
    </w:rPr>
  </w:style>
  <w:style w:type="character" w:customStyle="1" w:styleId="DocID">
    <w:name w:val="DocID"/>
    <w:basedOn w:val="DefaultParagraphFont"/>
    <w:semiHidden/>
    <w:qFormat/>
    <w:rPr>
      <w:rFonts w:ascii="Times New Roman" w:hAnsi="Times New Roman"/>
      <w:sz w:val="16"/>
    </w:rPr>
  </w:style>
  <w:style w:type="paragraph" w:customStyle="1" w:styleId="BlockText1">
    <w:name w:val="Block Text 1"/>
    <w:basedOn w:val="Normal"/>
    <w:qFormat/>
    <w:pPr>
      <w:spacing w:after="240"/>
      <w:ind w:left="1440"/>
    </w:pPr>
  </w:style>
  <w:style w:type="paragraph" w:customStyle="1" w:styleId="BlockText1-2">
    <w:name w:val="Block Text 1 - 2"/>
    <w:basedOn w:val="Normal"/>
    <w:qFormat/>
    <w:pPr>
      <w:spacing w:line="480" w:lineRule="auto"/>
      <w:ind w:left="1440"/>
    </w:pPr>
  </w:style>
  <w:style w:type="paragraph" w:customStyle="1" w:styleId="Hang">
    <w:name w:val="Hang"/>
    <w:basedOn w:val="Normal"/>
    <w:qFormat/>
    <w:pPr>
      <w:spacing w:after="240"/>
      <w:ind w:left="720" w:hanging="720"/>
    </w:pPr>
  </w:style>
  <w:style w:type="paragraph" w:customStyle="1" w:styleId="Hang2">
    <w:name w:val="Hang 2"/>
    <w:basedOn w:val="Normal"/>
    <w:qFormat/>
    <w:pPr>
      <w:spacing w:line="480" w:lineRule="auto"/>
      <w:ind w:left="720" w:hanging="720"/>
    </w:pPr>
  </w:style>
  <w:style w:type="paragraph" w:customStyle="1" w:styleId="HangJ">
    <w:name w:val="Hang J"/>
    <w:basedOn w:val="Normal"/>
    <w:qFormat/>
    <w:pPr>
      <w:spacing w:after="240"/>
      <w:ind w:left="720" w:hanging="720"/>
      <w:jc w:val="both"/>
    </w:pPr>
  </w:style>
  <w:style w:type="paragraph" w:customStyle="1" w:styleId="Hang2J">
    <w:name w:val="Hang 2J"/>
    <w:basedOn w:val="Normal"/>
    <w:qFormat/>
    <w:pPr>
      <w:spacing w:line="480" w:lineRule="auto"/>
      <w:ind w:left="720" w:hanging="720"/>
      <w:jc w:val="both"/>
    </w:pPr>
  </w:style>
  <w:style w:type="paragraph" w:customStyle="1" w:styleId="Notary">
    <w:name w:val="Notary"/>
    <w:basedOn w:val="Normal"/>
    <w:qFormat/>
    <w:pPr>
      <w:ind w:left="4320"/>
    </w:pPr>
  </w:style>
  <w:style w:type="paragraph" w:styleId="TOC1">
    <w:name w:val="toc 1"/>
    <w:basedOn w:val="Normal"/>
    <w:next w:val="Normal"/>
    <w:autoRedefine/>
    <w:uiPriority w:val="39"/>
    <w:semiHidden/>
    <w:unhideWhenUsed/>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pPr>
      <w:ind w:left="2635" w:right="432" w:hanging="720"/>
    </w:pPr>
    <w:rPr>
      <w:rFonts w:eastAsia="Times New Roman" w:cs="Times New Roman"/>
      <w:noProof/>
      <w:szCs w:val="20"/>
    </w:rPr>
  </w:style>
  <w:style w:type="paragraph" w:styleId="TOCHeading">
    <w:name w:val="TOC Heading"/>
    <w:basedOn w:val="Normal"/>
    <w:semiHidden/>
    <w:unhideWhenUsed/>
    <w:qFormat/>
    <w:pPr>
      <w:spacing w:after="240"/>
      <w:jc w:val="center"/>
    </w:pPr>
    <w:rPr>
      <w:rFonts w:eastAsia="Times New Roman" w:cs="Times New Roman"/>
      <w:b/>
      <w:szCs w:val="20"/>
    </w:rPr>
  </w:style>
  <w:style w:type="paragraph" w:customStyle="1" w:styleId="TOCPage">
    <w:name w:val="TOC Page"/>
    <w:basedOn w:val="Normal"/>
    <w:semiHidden/>
    <w:unhideWhenUsed/>
    <w:pPr>
      <w:spacing w:after="240"/>
      <w:jc w:val="right"/>
    </w:pPr>
    <w:rPr>
      <w:rFonts w:eastAsia="Times New Roman" w:cs="Times New Roman"/>
      <w:b/>
      <w:szCs w:val="20"/>
    </w:rPr>
  </w:style>
  <w:style w:type="paragraph" w:customStyle="1" w:styleId="Quote1">
    <w:name w:val="Quote 1"/>
    <w:basedOn w:val="Normal"/>
    <w:qFormat/>
    <w:pPr>
      <w:spacing w:after="240"/>
      <w:ind w:left="1440" w:right="1440"/>
      <w:jc w:val="both"/>
    </w:pPr>
  </w:style>
  <w:style w:type="paragraph" w:styleId="List">
    <w:name w:val="List"/>
    <w:basedOn w:val="Normal"/>
    <w:uiPriority w:val="99"/>
    <w:unhideWhenUsed/>
    <w:pPr>
      <w:numPr>
        <w:numId w:val="25"/>
      </w:numPr>
      <w:spacing w:after="240"/>
    </w:pPr>
  </w:style>
  <w:style w:type="paragraph" w:customStyle="1" w:styleId="ListalphaB0">
    <w:name w:val="List alpha B"/>
    <w:basedOn w:val="Normal"/>
    <w:pPr>
      <w:numPr>
        <w:numId w:val="19"/>
      </w:numPr>
      <w:spacing w:after="240"/>
    </w:pPr>
    <w:rPr>
      <w:rFonts w:eastAsia="Times New Roman" w:cs="Times New Roman"/>
    </w:rPr>
  </w:style>
  <w:style w:type="paragraph" w:customStyle="1" w:styleId="Listalpha">
    <w:name w:val="List alpha"/>
    <w:basedOn w:val="Normal"/>
    <w:pPr>
      <w:numPr>
        <w:numId w:val="20"/>
      </w:numPr>
      <w:spacing w:after="240"/>
    </w:pPr>
    <w:rPr>
      <w:rFonts w:eastAsia="Times New Roman" w:cs="Times New Roman"/>
    </w:rPr>
  </w:style>
  <w:style w:type="paragraph" w:customStyle="1" w:styleId="ListALPHAB">
    <w:name w:val="List ALPHA B"/>
    <w:basedOn w:val="Normal"/>
    <w:pPr>
      <w:numPr>
        <w:numId w:val="21"/>
      </w:numPr>
      <w:spacing w:after="240"/>
      <w:jc w:val="both"/>
      <w:outlineLvl w:val="0"/>
    </w:pPr>
    <w:rPr>
      <w:rFonts w:eastAsia="Times New Roman" w:cs="Times New Roman"/>
    </w:rPr>
  </w:style>
  <w:style w:type="paragraph" w:customStyle="1" w:styleId="ListALPHA0">
    <w:name w:val="List ALPHA"/>
    <w:basedOn w:val="Normal"/>
    <w:pPr>
      <w:numPr>
        <w:numId w:val="22"/>
      </w:numPr>
      <w:spacing w:after="240"/>
      <w:jc w:val="both"/>
      <w:outlineLvl w:val="0"/>
    </w:pPr>
    <w:rPr>
      <w:rFonts w:eastAsia="Times New Roman" w:cs="Times New Roman"/>
    </w:rPr>
  </w:style>
  <w:style w:type="paragraph" w:styleId="Closing">
    <w:name w:val="Closing"/>
    <w:basedOn w:val="Normal"/>
    <w:link w:val="ClosingChar"/>
    <w:uiPriority w:val="99"/>
    <w:pPr>
      <w:spacing w:after="720"/>
      <w:ind w:left="4320"/>
      <w:contextualSpacing/>
    </w:pPr>
  </w:style>
  <w:style w:type="character" w:customStyle="1" w:styleId="ClosingChar">
    <w:name w:val="Closing Char"/>
    <w:basedOn w:val="DefaultParagraphFont"/>
    <w:link w:val="Closing"/>
    <w:uiPriority w:val="99"/>
  </w:style>
  <w:style w:type="paragraph" w:customStyle="1" w:styleId="ClosingFirmName">
    <w:name w:val="ClosingFirmName"/>
    <w:basedOn w:val="Closing"/>
    <w:next w:val="Normal"/>
    <w:uiPriority w:val="99"/>
    <w:semiHidden/>
    <w:pPr>
      <w:spacing w:after="240"/>
    </w:pPr>
  </w:style>
  <w:style w:type="paragraph" w:styleId="Signature">
    <w:name w:val="Signature"/>
    <w:basedOn w:val="Normal"/>
    <w:link w:val="SignatureChar"/>
    <w:uiPriority w:val="99"/>
    <w:pPr>
      <w:tabs>
        <w:tab w:val="right" w:pos="9216"/>
      </w:tabs>
      <w:spacing w:after="240"/>
      <w:ind w:left="4320"/>
    </w:pPr>
  </w:style>
  <w:style w:type="character" w:customStyle="1" w:styleId="SignatureChar">
    <w:name w:val="Signature Char"/>
    <w:basedOn w:val="DefaultParagraphFont"/>
    <w:link w:val="Signature"/>
    <w:uiPriority w:val="99"/>
  </w:style>
  <w:style w:type="paragraph" w:customStyle="1" w:styleId="SignatureByLine">
    <w:name w:val="SignatureByLine"/>
    <w:basedOn w:val="Signature"/>
    <w:uiPriority w:val="99"/>
    <w:semiHidden/>
    <w:pPr>
      <w:ind w:left="360"/>
    </w:pPr>
  </w:style>
  <w:style w:type="paragraph" w:styleId="ListNumber">
    <w:name w:val="List Number"/>
    <w:basedOn w:val="Normal"/>
    <w:uiPriority w:val="99"/>
    <w:unhideWhenUsed/>
    <w:pPr>
      <w:numPr>
        <w:numId w:val="1"/>
      </w:numPr>
      <w:spacing w:after="240"/>
    </w:pPr>
  </w:style>
  <w:style w:type="paragraph" w:styleId="ListNumber2">
    <w:name w:val="List Number 2"/>
    <w:basedOn w:val="Normal"/>
    <w:uiPriority w:val="99"/>
    <w:unhideWhenUsed/>
    <w:pPr>
      <w:numPr>
        <w:numId w:val="3"/>
      </w:numPr>
      <w:spacing w:line="480" w:lineRule="auto"/>
      <w:contextualSpacing/>
    </w:pPr>
  </w:style>
  <w:style w:type="paragraph" w:customStyle="1" w:styleId="ListNumberB">
    <w:name w:val="List Number B"/>
    <w:basedOn w:val="Normal"/>
    <w:qFormat/>
    <w:pPr>
      <w:numPr>
        <w:numId w:val="23"/>
      </w:numPr>
      <w:spacing w:after="240"/>
    </w:pPr>
  </w:style>
  <w:style w:type="paragraph" w:styleId="ListBullet">
    <w:name w:val="List Bullet"/>
    <w:basedOn w:val="Normal"/>
    <w:pPr>
      <w:numPr>
        <w:numId w:val="26"/>
      </w:numPr>
      <w:contextualSpacing/>
    </w:pPr>
  </w:style>
  <w:style w:type="paragraph" w:styleId="ListBullet2">
    <w:name w:val="List Bullet 2"/>
    <w:basedOn w:val="Normal"/>
    <w:pPr>
      <w:numPr>
        <w:numId w:val="27"/>
      </w:numPr>
      <w:contextualSpacing/>
    </w:pPr>
  </w:style>
  <w:style w:type="paragraph" w:styleId="ListParagraph">
    <w:name w:val="List Paragraph"/>
    <w:basedOn w:val="Normal"/>
    <w:uiPriority w:val="34"/>
    <w:pPr>
      <w:ind w:left="720"/>
      <w:contextualSpacing/>
    </w:p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semiHidden/>
    <w:unhideWhenUsed/>
    <w:rPr>
      <w:color w:val="003366"/>
      <w:u w:val="single"/>
    </w:rPr>
  </w:style>
  <w:style w:type="character" w:styleId="FollowedHyperlink">
    <w:name w:val="FollowedHyperlink"/>
    <w:basedOn w:val="DefaultParagraphFont"/>
    <w:uiPriority w:val="99"/>
    <w:semiHidden/>
    <w:unhideWhenUsed/>
    <w:rPr>
      <w:color w:val="003366"/>
      <w:u w:val="single"/>
    </w:rPr>
  </w:style>
  <w:style w:type="paragraph" w:customStyle="1" w:styleId="Header1">
    <w:name w:val="Header1"/>
    <w:basedOn w:val="Normal"/>
    <w:pPr>
      <w:shd w:val="clear" w:color="auto" w:fill="003366"/>
      <w:spacing w:before="100" w:beforeAutospacing="1" w:after="100" w:afterAutospacing="1"/>
    </w:pPr>
    <w:rPr>
      <w:rFonts w:eastAsia="Times New Roman" w:cs="Times New Roman"/>
    </w:rPr>
  </w:style>
  <w:style w:type="paragraph" w:customStyle="1" w:styleId="tablive">
    <w:name w:val="tab_live"/>
    <w:basedOn w:val="Normal"/>
    <w:pPr>
      <w:shd w:val="clear" w:color="auto" w:fill="FFFFFF"/>
      <w:spacing w:before="100" w:beforeAutospacing="1" w:after="100" w:afterAutospacing="1"/>
    </w:pPr>
    <w:rPr>
      <w:rFonts w:eastAsia="Times New Roman" w:cs="Times New Roman"/>
    </w:rPr>
  </w:style>
  <w:style w:type="paragraph" w:customStyle="1" w:styleId="tabdead">
    <w:name w:val="tab_dead"/>
    <w:basedOn w:val="Normal"/>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pPr>
      <w:spacing w:before="100" w:beforeAutospacing="1" w:after="100" w:afterAutospacing="1"/>
    </w:pPr>
    <w:rPr>
      <w:rFonts w:eastAsia="Times New Roman" w:cs="Times New Roman"/>
      <w:color w:val="CC0000"/>
    </w:rPr>
  </w:style>
  <w:style w:type="paragraph" w:customStyle="1" w:styleId="green">
    <w:name w:val="green"/>
    <w:basedOn w:val="Normal"/>
    <w:pPr>
      <w:spacing w:before="100" w:beforeAutospacing="1" w:after="100" w:afterAutospacing="1"/>
    </w:pPr>
    <w:rPr>
      <w:rFonts w:eastAsia="Times New Roman" w:cs="Times New Roman"/>
      <w:color w:val="339900"/>
    </w:rPr>
  </w:style>
  <w:style w:type="paragraph" w:customStyle="1" w:styleId="dead">
    <w:name w:val="dead"/>
    <w:basedOn w:val="Normal"/>
    <w:pPr>
      <w:spacing w:before="100" w:beforeAutospacing="1" w:after="100" w:afterAutospacing="1"/>
    </w:pPr>
    <w:rPr>
      <w:rFonts w:eastAsia="Times New Roman" w:cs="Times New Roman"/>
      <w:color w:val="666666"/>
    </w:rPr>
  </w:style>
  <w:style w:type="paragraph" w:customStyle="1" w:styleId="live">
    <w:name w:val="live"/>
    <w:basedOn w:val="Normal"/>
    <w:pPr>
      <w:spacing w:before="100" w:beforeAutospacing="1" w:after="100" w:afterAutospacing="1"/>
    </w:pPr>
    <w:rPr>
      <w:rFonts w:eastAsia="Times New Roman" w:cs="Times New Roman"/>
    </w:rPr>
  </w:style>
  <w:style w:type="paragraph" w:customStyle="1" w:styleId="orgname">
    <w:name w:val="org_name"/>
    <w:basedOn w:val="Normal"/>
    <w:pPr>
      <w:spacing w:before="100" w:beforeAutospacing="1" w:after="100" w:afterAutospacing="1"/>
      <w:jc w:val="right"/>
    </w:pPr>
    <w:rPr>
      <w:rFonts w:eastAsia="Times New Roman" w:cs="Times New Roman"/>
      <w:color w:val="FFFFFF"/>
    </w:rPr>
  </w:style>
  <w:style w:type="paragraph" w:customStyle="1" w:styleId="formwidth">
    <w:name w:val="form_width"/>
    <w:basedOn w:val="Normal"/>
    <w:pPr>
      <w:spacing w:before="100" w:beforeAutospacing="1" w:after="100" w:afterAutospacing="1"/>
    </w:pPr>
    <w:rPr>
      <w:rFonts w:eastAsia="Times New Roman" w:cs="Times New Roman"/>
    </w:rPr>
  </w:style>
  <w:style w:type="paragraph" w:customStyle="1" w:styleId="box">
    <w:name w:val="box"/>
    <w:basedOn w:val="Normal"/>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pPr>
      <w:spacing w:before="100" w:beforeAutospacing="1" w:after="100" w:afterAutospacing="1"/>
    </w:pPr>
    <w:rPr>
      <w:rFonts w:ascii="Arial" w:eastAsia="Times New Roman" w:hAnsi="Arial" w:cs="Arial"/>
      <w:sz w:val="15"/>
      <w:szCs w:val="15"/>
    </w:rPr>
  </w:style>
  <w:style w:type="paragraph" w:customStyle="1" w:styleId="large">
    <w:name w:val="large"/>
    <w:basedOn w:val="Normal"/>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pPr>
      <w:spacing w:before="225" w:after="150"/>
      <w:ind w:left="150" w:right="150"/>
    </w:pPr>
    <w:rPr>
      <w:rFonts w:ascii="Arial" w:eastAsia="Times New Roman" w:hAnsi="Arial" w:cs="Arial"/>
      <w:b/>
      <w:bCs/>
      <w:sz w:val="27"/>
      <w:szCs w:val="27"/>
    </w:rPr>
  </w:style>
  <w:style w:type="paragraph" w:customStyle="1" w:styleId="navlarge">
    <w:name w:val="nav_large"/>
    <w:basedOn w:val="Normal"/>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pPr>
      <w:spacing w:before="100" w:beforeAutospacing="1" w:after="100" w:afterAutospacing="1"/>
    </w:pPr>
    <w:rPr>
      <w:rFonts w:eastAsia="Times New Roman" w:cs="Times New Roman"/>
    </w:rPr>
  </w:style>
  <w:style w:type="paragraph" w:customStyle="1" w:styleId="message">
    <w:name w:val="message"/>
    <w:basedOn w:val="Normal"/>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pPr>
      <w:spacing w:before="150"/>
    </w:pPr>
    <w:rPr>
      <w:rFonts w:ascii="Arial" w:eastAsia="Times New Roman" w:hAnsi="Arial" w:cs="Arial"/>
      <w:b/>
      <w:bCs/>
      <w:sz w:val="27"/>
      <w:szCs w:val="27"/>
    </w:rPr>
  </w:style>
  <w:style w:type="paragraph" w:customStyle="1" w:styleId="articledate">
    <w:name w:val="article_date"/>
    <w:basedOn w:val="Normal"/>
    <w:pPr>
      <w:spacing w:after="150"/>
    </w:pPr>
    <w:rPr>
      <w:rFonts w:eastAsia="Times New Roman" w:cs="Times New Roman"/>
      <w:color w:val="666666"/>
    </w:rPr>
  </w:style>
  <w:style w:type="paragraph" w:customStyle="1" w:styleId="pagerlive">
    <w:name w:val="pager_live"/>
    <w:basedOn w:val="Normal"/>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pPr>
      <w:spacing w:before="75"/>
      <w:ind w:left="195"/>
    </w:pPr>
    <w:rPr>
      <w:rFonts w:eastAsia="Times New Roman" w:cs="Times New Roman"/>
      <w:color w:val="DDDDDD"/>
    </w:rPr>
  </w:style>
  <w:style w:type="paragraph" w:customStyle="1" w:styleId="bulletlistnobullet">
    <w:name w:val="bullet_list_no_bullet"/>
    <w:basedOn w:val="Normal"/>
    <w:pPr>
      <w:spacing w:before="75"/>
    </w:pPr>
    <w:rPr>
      <w:rFonts w:eastAsia="Times New Roman" w:cs="Times New Roman"/>
      <w:color w:val="DDDDDD"/>
    </w:rPr>
  </w:style>
  <w:style w:type="paragraph" w:customStyle="1" w:styleId="iconmenu">
    <w:name w:val="icon_menu"/>
    <w:basedOn w:val="Normal"/>
    <w:rPr>
      <w:rFonts w:eastAsia="Times New Roman" w:cs="Times New Roman"/>
      <w:b/>
      <w:bCs/>
      <w:sz w:val="18"/>
      <w:szCs w:val="18"/>
    </w:rPr>
  </w:style>
  <w:style w:type="paragraph" w:customStyle="1" w:styleId="contentcopyright">
    <w:name w:val="content_copyright"/>
    <w:basedOn w:val="Normal"/>
    <w:pPr>
      <w:spacing w:before="300"/>
      <w:ind w:left="300" w:right="300"/>
    </w:pPr>
    <w:rPr>
      <w:rFonts w:eastAsia="Times New Roman" w:cs="Times New Roman"/>
      <w:color w:val="666666"/>
    </w:rPr>
  </w:style>
  <w:style w:type="paragraph" w:customStyle="1" w:styleId="eventicon1">
    <w:name w:val="event_icon_1"/>
    <w:basedOn w:val="Normal"/>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pPr>
      <w:spacing w:before="100" w:beforeAutospacing="1" w:after="100" w:afterAutospacing="1"/>
    </w:pPr>
    <w:rPr>
      <w:rFonts w:eastAsia="Times New Roman" w:cs="Times New Roman"/>
    </w:rPr>
  </w:style>
  <w:style w:type="paragraph" w:customStyle="1" w:styleId="Header2">
    <w:name w:val="Header2"/>
    <w:basedOn w:val="Normal"/>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Pr>
      <w:rFonts w:eastAsia="Times New Roman" w:cs="Times New Roman"/>
    </w:rPr>
  </w:style>
  <w:style w:type="paragraph" w:customStyle="1" w:styleId="sponsored-event-content">
    <w:name w:val="sponsored-event-content"/>
    <w:basedOn w:val="Normal"/>
    <w:rPr>
      <w:rFonts w:eastAsia="Times New Roman" w:cs="Times New Roman"/>
      <w:vanish/>
    </w:rPr>
  </w:style>
  <w:style w:type="paragraph" w:customStyle="1" w:styleId="sponsored-event-click">
    <w:name w:val="sponsored-event-click"/>
    <w:basedOn w:val="Normal"/>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 w:type="paragraph" w:customStyle="1" w:styleId="Header3">
    <w:name w:val="Header3"/>
    <w:basedOn w:val="Normal"/>
    <w:pPr>
      <w:shd w:val="clear" w:color="auto" w:fill="003366"/>
      <w:spacing w:before="100" w:beforeAutospacing="1" w:after="100" w:afterAutospacing="1"/>
    </w:pPr>
    <w:rPr>
      <w:rFonts w:eastAsia="Times New Roman" w:cs="Times New Roman"/>
    </w:rPr>
  </w:style>
  <w:style w:type="paragraph" w:customStyle="1" w:styleId="jquery-button">
    <w:name w:val="jquery-button"/>
    <w:basedOn w:val="Normal"/>
    <w:pPr>
      <w:spacing w:before="100" w:beforeAutospacing="1" w:after="100" w:afterAutospacing="1"/>
    </w:pPr>
    <w:rPr>
      <w:rFonts w:eastAsia="Times New Roman" w:cs="Times New Roman"/>
      <w:color w:val="000000"/>
      <w:sz w:val="20"/>
      <w:szCs w:val="20"/>
    </w:rPr>
  </w:style>
  <w:style w:type="paragraph" w:customStyle="1" w:styleId="billflag">
    <w:name w:val="bill_flag"/>
    <w:basedOn w:val="Normal"/>
    <w:pPr>
      <w:ind w:left="50" w:right="50"/>
      <w:textAlignment w:val="top"/>
    </w:pPr>
    <w:rPr>
      <w:rFonts w:eastAsia="Times New Roman" w:cs="Times New Roman"/>
    </w:rPr>
  </w:style>
  <w:style w:type="paragraph" w:customStyle="1" w:styleId="tooltip">
    <w:name w:val="tooltip"/>
    <w:basedOn w:val="Normal"/>
    <w:pPr>
      <w:pBdr>
        <w:top w:val="single" w:sz="4" w:space="1" w:color="EEEEEE"/>
        <w:left w:val="single" w:sz="4" w:space="10" w:color="EEEEEE"/>
        <w:bottom w:val="single" w:sz="4" w:space="1" w:color="EEEEEE"/>
        <w:right w:val="single" w:sz="4" w:space="3" w:color="EEEEEE"/>
      </w:pBdr>
      <w:shd w:val="clear" w:color="auto" w:fill="FFFFFF"/>
      <w:spacing w:before="100" w:beforeAutospacing="1" w:after="100" w:afterAutospacing="1"/>
    </w:pPr>
    <w:rPr>
      <w:rFonts w:eastAsia="Times New Roman" w:cs="Times New Roman"/>
    </w:rPr>
  </w:style>
  <w:style w:type="paragraph" w:customStyle="1" w:styleId="small-tooltip">
    <w:name w:val="small-tooltip"/>
    <w:basedOn w:val="Normal"/>
    <w:pPr>
      <w:spacing w:before="100" w:beforeAutospacing="1" w:after="100" w:afterAutospacing="1"/>
    </w:pPr>
    <w:rPr>
      <w:rFonts w:eastAsia="Times New Roman" w:cs="Times New Roman"/>
      <w:sz w:val="12"/>
      <w:szCs w:val="12"/>
    </w:rPr>
  </w:style>
  <w:style w:type="paragraph" w:customStyle="1" w:styleId="large-tooltip">
    <w:name w:val="large-tooltip"/>
    <w:basedOn w:val="Normal"/>
    <w:pPr>
      <w:spacing w:before="100" w:beforeAutospacing="1" w:after="100" w:afterAutospacing="1"/>
    </w:pPr>
    <w:rPr>
      <w:rFonts w:eastAsia="Times New Roman" w:cs="Times New Roman"/>
      <w:b/>
      <w:bCs/>
      <w:sz w:val="13"/>
      <w:szCs w:val="13"/>
    </w:rPr>
  </w:style>
  <w:style w:type="paragraph" w:customStyle="1" w:styleId="more-items">
    <w:name w:val="more-items"/>
    <w:basedOn w:val="Normal"/>
    <w:pPr>
      <w:spacing w:before="100" w:beforeAutospacing="1" w:after="200"/>
      <w:jc w:val="right"/>
    </w:pPr>
    <w:rPr>
      <w:rFonts w:eastAsia="Times New Roman" w:cs="Times New Roman"/>
      <w:b/>
      <w:bCs/>
    </w:rPr>
  </w:style>
  <w:style w:type="paragraph" w:customStyle="1" w:styleId="button-link">
    <w:name w:val="button-link"/>
    <w:basedOn w:val="Normal"/>
    <w:pPr>
      <w:pBdr>
        <w:top w:val="single" w:sz="4" w:space="5" w:color="999999"/>
        <w:left w:val="single" w:sz="4" w:space="8" w:color="999999"/>
        <w:bottom w:val="single" w:sz="4" w:space="5" w:color="999999"/>
        <w:right w:val="single" w:sz="4" w:space="8" w:color="999999"/>
      </w:pBdr>
      <w:shd w:val="clear" w:color="auto" w:fill="CCCCCC"/>
      <w:spacing w:before="100" w:beforeAutospacing="1" w:after="100" w:afterAutospacing="1"/>
    </w:pPr>
    <w:rPr>
      <w:rFonts w:eastAsia="Times New Roman" w:cs="Times New Roman"/>
      <w:color w:val="000000"/>
    </w:rPr>
  </w:style>
  <w:style w:type="character" w:customStyle="1" w:styleId="text">
    <w:name w:val="text"/>
    <w:basedOn w:val="DefaultParagraphFont"/>
  </w:style>
  <w:style w:type="paragraph" w:styleId="z-TopofForm">
    <w:name w:val="HTML Top of Form"/>
    <w:basedOn w:val="Normal"/>
    <w:next w:val="Normal"/>
    <w:link w:val="z-TopofFormChar"/>
    <w:hidden/>
    <w:uiPriority w:val="99"/>
    <w:semiHidden/>
    <w:unhideWhenUsed/>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Pr>
      <w:rFonts w:ascii="Arial" w:eastAsia="Times New Roman" w:hAnsi="Arial" w:cs="Arial"/>
      <w:vanish/>
      <w:sz w:val="16"/>
      <w:szCs w:val="16"/>
    </w:rPr>
  </w:style>
  <w:style w:type="character" w:customStyle="1" w:styleId="tiny1">
    <w:name w:val="tiny1"/>
    <w:basedOn w:val="DefaultParagraphFont"/>
    <w:rPr>
      <w:rFonts w:ascii="Arial" w:hAnsi="Arial" w:cs="Arial" w:hint="default"/>
      <w:sz w:val="10"/>
      <w:szCs w:val="10"/>
    </w:rPr>
  </w:style>
  <w:style w:type="paragraph" w:styleId="z-BottomofForm">
    <w:name w:val="HTML Bottom of Form"/>
    <w:basedOn w:val="Normal"/>
    <w:next w:val="Normal"/>
    <w:link w:val="z-BottomofFormChar"/>
    <w:hidden/>
    <w:uiPriority w:val="99"/>
    <w:semiHidden/>
    <w:unhideWhenUsed/>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Pr>
      <w:rFonts w:ascii="Arial" w:eastAsia="Times New Roman" w:hAnsi="Arial" w:cs="Arial"/>
      <w:vanish/>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403259763">
      <w:bodyDiv w:val="1"/>
      <w:marLeft w:val="0"/>
      <w:marRight w:val="0"/>
      <w:marTop w:val="0"/>
      <w:marBottom w:val="0"/>
      <w:divBdr>
        <w:top w:val="none" w:sz="0" w:space="0" w:color="auto"/>
        <w:left w:val="none" w:sz="0" w:space="0" w:color="auto"/>
        <w:bottom w:val="none" w:sz="0" w:space="0" w:color="auto"/>
        <w:right w:val="none" w:sz="0" w:space="0" w:color="auto"/>
      </w:divBdr>
      <w:divsChild>
        <w:div w:id="1736007620">
          <w:marLeft w:val="0"/>
          <w:marRight w:val="0"/>
          <w:marTop w:val="0"/>
          <w:marBottom w:val="0"/>
          <w:divBdr>
            <w:top w:val="none" w:sz="0" w:space="0" w:color="auto"/>
            <w:left w:val="none" w:sz="0" w:space="0" w:color="auto"/>
            <w:bottom w:val="none" w:sz="0" w:space="0" w:color="auto"/>
            <w:right w:val="none" w:sz="0" w:space="0" w:color="auto"/>
          </w:divBdr>
          <w:divsChild>
            <w:div w:id="1656686502">
              <w:marLeft w:val="0"/>
              <w:marRight w:val="0"/>
              <w:marTop w:val="0"/>
              <w:marBottom w:val="0"/>
              <w:divBdr>
                <w:top w:val="none" w:sz="0" w:space="0" w:color="auto"/>
                <w:left w:val="none" w:sz="0" w:space="0" w:color="auto"/>
                <w:bottom w:val="none" w:sz="0" w:space="0" w:color="auto"/>
                <w:right w:val="none" w:sz="0" w:space="0" w:color="auto"/>
              </w:divBdr>
              <w:divsChild>
                <w:div w:id="1388576926">
                  <w:marLeft w:val="0"/>
                  <w:marRight w:val="0"/>
                  <w:marTop w:val="0"/>
                  <w:marBottom w:val="0"/>
                  <w:divBdr>
                    <w:top w:val="none" w:sz="0" w:space="0" w:color="auto"/>
                    <w:left w:val="none" w:sz="0" w:space="0" w:color="auto"/>
                    <w:bottom w:val="none" w:sz="0" w:space="0" w:color="auto"/>
                    <w:right w:val="none" w:sz="0" w:space="0" w:color="auto"/>
                  </w:divBdr>
                  <w:divsChild>
                    <w:div w:id="521824339">
                      <w:marLeft w:val="0"/>
                      <w:marRight w:val="0"/>
                      <w:marTop w:val="0"/>
                      <w:marBottom w:val="0"/>
                      <w:divBdr>
                        <w:top w:val="none" w:sz="0" w:space="0" w:color="auto"/>
                        <w:left w:val="none" w:sz="0" w:space="0" w:color="auto"/>
                        <w:bottom w:val="none" w:sz="0" w:space="0" w:color="auto"/>
                        <w:right w:val="none" w:sz="0" w:space="0" w:color="auto"/>
                      </w:divBdr>
                      <w:divsChild>
                        <w:div w:id="2011905683">
                          <w:marLeft w:val="0"/>
                          <w:marRight w:val="0"/>
                          <w:marTop w:val="0"/>
                          <w:marBottom w:val="0"/>
                          <w:divBdr>
                            <w:top w:val="none" w:sz="0" w:space="0" w:color="auto"/>
                            <w:left w:val="none" w:sz="0" w:space="0" w:color="auto"/>
                            <w:bottom w:val="none" w:sz="0" w:space="0" w:color="auto"/>
                            <w:right w:val="none" w:sz="0" w:space="0" w:color="auto"/>
                          </w:divBdr>
                          <w:divsChild>
                            <w:div w:id="2113544811">
                              <w:marLeft w:val="0"/>
                              <w:marRight w:val="0"/>
                              <w:marTop w:val="0"/>
                              <w:marBottom w:val="0"/>
                              <w:divBdr>
                                <w:top w:val="none" w:sz="0" w:space="0" w:color="auto"/>
                                <w:left w:val="none" w:sz="0" w:space="0" w:color="auto"/>
                                <w:bottom w:val="none" w:sz="0" w:space="0" w:color="auto"/>
                                <w:right w:val="none" w:sz="0" w:space="0" w:color="auto"/>
                              </w:divBdr>
                              <w:divsChild>
                                <w:div w:id="971446960">
                                  <w:marLeft w:val="0"/>
                                  <w:marRight w:val="0"/>
                                  <w:marTop w:val="0"/>
                                  <w:marBottom w:val="0"/>
                                  <w:divBdr>
                                    <w:top w:val="none" w:sz="0" w:space="0" w:color="auto"/>
                                    <w:left w:val="none" w:sz="0" w:space="0" w:color="auto"/>
                                    <w:bottom w:val="none" w:sz="0" w:space="0" w:color="auto"/>
                                    <w:right w:val="none" w:sz="0" w:space="0" w:color="auto"/>
                                  </w:divBdr>
                                </w:div>
                                <w:div w:id="1818643953">
                                  <w:marLeft w:val="0"/>
                                  <w:marRight w:val="0"/>
                                  <w:marTop w:val="0"/>
                                  <w:marBottom w:val="0"/>
                                  <w:divBdr>
                                    <w:top w:val="none" w:sz="0" w:space="0" w:color="auto"/>
                                    <w:left w:val="none" w:sz="0" w:space="0" w:color="auto"/>
                                    <w:bottom w:val="none" w:sz="0" w:space="0" w:color="auto"/>
                                    <w:right w:val="none" w:sz="0" w:space="0" w:color="auto"/>
                                  </w:divBdr>
                                </w:div>
                                <w:div w:id="1186677282">
                                  <w:marLeft w:val="0"/>
                                  <w:marRight w:val="0"/>
                                  <w:marTop w:val="0"/>
                                  <w:marBottom w:val="0"/>
                                  <w:divBdr>
                                    <w:top w:val="none" w:sz="0" w:space="0" w:color="auto"/>
                                    <w:left w:val="none" w:sz="0" w:space="0" w:color="auto"/>
                                    <w:bottom w:val="none" w:sz="0" w:space="0" w:color="auto"/>
                                    <w:right w:val="none" w:sz="0" w:space="0" w:color="auto"/>
                                  </w:divBdr>
                                </w:div>
                                <w:div w:id="1021013190">
                                  <w:marLeft w:val="0"/>
                                  <w:marRight w:val="0"/>
                                  <w:marTop w:val="0"/>
                                  <w:marBottom w:val="0"/>
                                  <w:divBdr>
                                    <w:top w:val="none" w:sz="0" w:space="0" w:color="auto"/>
                                    <w:left w:val="none" w:sz="0" w:space="0" w:color="auto"/>
                                    <w:bottom w:val="none" w:sz="0" w:space="0" w:color="auto"/>
                                    <w:right w:val="none" w:sz="0" w:space="0" w:color="auto"/>
                                  </w:divBdr>
                                </w:div>
                                <w:div w:id="361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041393975">
      <w:bodyDiv w:val="1"/>
      <w:marLeft w:val="0"/>
      <w:marRight w:val="0"/>
      <w:marTop w:val="0"/>
      <w:marBottom w:val="0"/>
      <w:divBdr>
        <w:top w:val="none" w:sz="0" w:space="0" w:color="auto"/>
        <w:left w:val="none" w:sz="0" w:space="0" w:color="auto"/>
        <w:bottom w:val="none" w:sz="0" w:space="0" w:color="auto"/>
        <w:right w:val="none" w:sz="0" w:space="0" w:color="auto"/>
      </w:divBdr>
    </w:div>
    <w:div w:id="1262571908">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320496251">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758550716">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0">
          <w:marLeft w:val="0"/>
          <w:marRight w:val="0"/>
          <w:marTop w:val="0"/>
          <w:marBottom w:val="0"/>
          <w:divBdr>
            <w:top w:val="none" w:sz="0" w:space="0" w:color="auto"/>
            <w:left w:val="none" w:sz="0" w:space="0" w:color="auto"/>
            <w:bottom w:val="none" w:sz="0" w:space="0" w:color="auto"/>
            <w:right w:val="none" w:sz="0" w:space="0" w:color="auto"/>
          </w:divBdr>
          <w:divsChild>
            <w:div w:id="423503998">
              <w:marLeft w:val="0"/>
              <w:marRight w:val="0"/>
              <w:marTop w:val="0"/>
              <w:marBottom w:val="0"/>
              <w:divBdr>
                <w:top w:val="none" w:sz="0" w:space="0" w:color="auto"/>
                <w:left w:val="none" w:sz="0" w:space="0" w:color="auto"/>
                <w:bottom w:val="none" w:sz="0" w:space="0" w:color="auto"/>
                <w:right w:val="none" w:sz="0" w:space="0" w:color="auto"/>
              </w:divBdr>
              <w:divsChild>
                <w:div w:id="1686664771">
                  <w:marLeft w:val="0"/>
                  <w:marRight w:val="0"/>
                  <w:marTop w:val="0"/>
                  <w:marBottom w:val="0"/>
                  <w:divBdr>
                    <w:top w:val="none" w:sz="0" w:space="0" w:color="auto"/>
                    <w:left w:val="none" w:sz="0" w:space="0" w:color="auto"/>
                    <w:bottom w:val="none" w:sz="0" w:space="0" w:color="auto"/>
                    <w:right w:val="none" w:sz="0" w:space="0" w:color="auto"/>
                  </w:divBdr>
                  <w:divsChild>
                    <w:div w:id="582107820">
                      <w:marLeft w:val="0"/>
                      <w:marRight w:val="0"/>
                      <w:marTop w:val="0"/>
                      <w:marBottom w:val="0"/>
                      <w:divBdr>
                        <w:top w:val="none" w:sz="0" w:space="0" w:color="auto"/>
                        <w:left w:val="none" w:sz="0" w:space="0" w:color="auto"/>
                        <w:bottom w:val="none" w:sz="0" w:space="0" w:color="auto"/>
                        <w:right w:val="none" w:sz="0" w:space="0" w:color="auto"/>
                      </w:divBdr>
                      <w:divsChild>
                        <w:div w:id="1194467041">
                          <w:marLeft w:val="0"/>
                          <w:marRight w:val="0"/>
                          <w:marTop w:val="0"/>
                          <w:marBottom w:val="0"/>
                          <w:divBdr>
                            <w:top w:val="none" w:sz="0" w:space="0" w:color="auto"/>
                            <w:left w:val="none" w:sz="0" w:space="0" w:color="auto"/>
                            <w:bottom w:val="none" w:sz="0" w:space="0" w:color="auto"/>
                            <w:right w:val="none" w:sz="0" w:space="0" w:color="auto"/>
                          </w:divBdr>
                          <w:divsChild>
                            <w:div w:id="587689169">
                              <w:marLeft w:val="0"/>
                              <w:marRight w:val="0"/>
                              <w:marTop w:val="0"/>
                              <w:marBottom w:val="0"/>
                              <w:divBdr>
                                <w:top w:val="none" w:sz="0" w:space="0" w:color="auto"/>
                                <w:left w:val="none" w:sz="0" w:space="0" w:color="auto"/>
                                <w:bottom w:val="none" w:sz="0" w:space="0" w:color="auto"/>
                                <w:right w:val="none" w:sz="0" w:space="0" w:color="auto"/>
                              </w:divBdr>
                              <w:divsChild>
                                <w:div w:id="1028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53066">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 w:id="21214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lsenate.gov/Session/Bill/2014/0154" TargetMode="External"/><Relationship Id="rId13" Type="http://schemas.openxmlformats.org/officeDocument/2006/relationships/hyperlink" Target="http://www.flsenate.gov/Session/Bill/2014/0357" TargetMode="External"/><Relationship Id="rId18" Type="http://schemas.openxmlformats.org/officeDocument/2006/relationships/hyperlink" Target="http://www.flsenate.gov/Session/Bill/2014/0444" TargetMode="External"/><Relationship Id="rId26" Type="http://schemas.openxmlformats.org/officeDocument/2006/relationships/hyperlink" Target="http://www.flsenate.gov/Session/Bill/2014/0612" TargetMode="External"/><Relationship Id="rId3" Type="http://schemas.openxmlformats.org/officeDocument/2006/relationships/settings" Target="settings.xml"/><Relationship Id="rId21" Type="http://schemas.openxmlformats.org/officeDocument/2006/relationships/hyperlink" Target="http://www.flsenate.gov/Session/Bill/2014/0543" TargetMode="External"/><Relationship Id="rId34" Type="http://schemas.openxmlformats.org/officeDocument/2006/relationships/footer" Target="footer2.xml"/><Relationship Id="rId7" Type="http://schemas.openxmlformats.org/officeDocument/2006/relationships/hyperlink" Target="http://www.flsenate.gov/Session/Bill/2014/0147" TargetMode="External"/><Relationship Id="rId12" Type="http://schemas.openxmlformats.org/officeDocument/2006/relationships/hyperlink" Target="http://www.flsenate.gov/Session/Bill/2014/0288" TargetMode="External"/><Relationship Id="rId17" Type="http://schemas.openxmlformats.org/officeDocument/2006/relationships/hyperlink" Target="http://www.flsenate.gov/Session/Bill/2014/0429" TargetMode="External"/><Relationship Id="rId25" Type="http://schemas.openxmlformats.org/officeDocument/2006/relationships/hyperlink" Target="http://www.flsenate.gov/Session/Bill/2014/0596"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flsenate.gov/Session/Bill/2014/0418" TargetMode="External"/><Relationship Id="rId20" Type="http://schemas.openxmlformats.org/officeDocument/2006/relationships/hyperlink" Target="http://www.flsenate.gov/Session/Bill/2014/0541" TargetMode="External"/><Relationship Id="rId29" Type="http://schemas.openxmlformats.org/officeDocument/2006/relationships/hyperlink" Target="http://www.flsenate.gov/Session/Bill/2014/06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lsenate.gov/Session/Bill/2014/0272" TargetMode="External"/><Relationship Id="rId24" Type="http://schemas.openxmlformats.org/officeDocument/2006/relationships/hyperlink" Target="http://www.flsenate.gov/Session/Bill/2014/0593" TargetMode="External"/><Relationship Id="rId32" Type="http://schemas.openxmlformats.org/officeDocument/2006/relationships/hyperlink" Target="http://www.flsenate.gov/Session/Bill/2014/0769" TargetMode="External"/><Relationship Id="rId5" Type="http://schemas.openxmlformats.org/officeDocument/2006/relationships/footnotes" Target="footnotes.xml"/><Relationship Id="rId15" Type="http://schemas.openxmlformats.org/officeDocument/2006/relationships/hyperlink" Target="http://www.flsenate.gov/Session/Bill/2014/0416" TargetMode="External"/><Relationship Id="rId23" Type="http://schemas.openxmlformats.org/officeDocument/2006/relationships/hyperlink" Target="http://www.flsenate.gov/Session/Bill/2014/0581" TargetMode="External"/><Relationship Id="rId28" Type="http://schemas.openxmlformats.org/officeDocument/2006/relationships/hyperlink" Target="http://www.flsenate.gov/Session/Bill/2014/0644" TargetMode="External"/><Relationship Id="rId36" Type="http://schemas.openxmlformats.org/officeDocument/2006/relationships/theme" Target="theme/theme1.xml"/><Relationship Id="rId10" Type="http://schemas.openxmlformats.org/officeDocument/2006/relationships/hyperlink" Target="http://www.flsenate.gov/Session/Bill/2014/0213" TargetMode="External"/><Relationship Id="rId19" Type="http://schemas.openxmlformats.org/officeDocument/2006/relationships/hyperlink" Target="http://www.flsenate.gov/Session/Bill/2014/0460" TargetMode="External"/><Relationship Id="rId31" Type="http://schemas.openxmlformats.org/officeDocument/2006/relationships/hyperlink" Target="http://www.flsenate.gov/Session/Bill/2014/0713" TargetMode="External"/><Relationship Id="rId4" Type="http://schemas.openxmlformats.org/officeDocument/2006/relationships/webSettings" Target="webSettings.xml"/><Relationship Id="rId9" Type="http://schemas.openxmlformats.org/officeDocument/2006/relationships/hyperlink" Target="http://www.flsenate.gov/Session/Bill/2014/0155" TargetMode="External"/><Relationship Id="rId14" Type="http://schemas.openxmlformats.org/officeDocument/2006/relationships/hyperlink" Target="http://www.flsenate.gov/Session/Bill/2014/0359" TargetMode="External"/><Relationship Id="rId22" Type="http://schemas.openxmlformats.org/officeDocument/2006/relationships/hyperlink" Target="http://www.flsenate.gov/Session/Bill/2014/0565" TargetMode="External"/><Relationship Id="rId27" Type="http://schemas.openxmlformats.org/officeDocument/2006/relationships/hyperlink" Target="http://www.flsenate.gov/Session/Bill/2014/0628" TargetMode="External"/><Relationship Id="rId30" Type="http://schemas.openxmlformats.org/officeDocument/2006/relationships/hyperlink" Target="http://www.flsenate.gov/Session/Bill/2014/0707"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2603</Words>
  <Characters>17451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_</vt:lpstr>
    </vt:vector>
  </TitlesOfParts>
  <LinksUpToDate>false</LinksUpToDate>
  <CharactersWithSpaces>20014</CharactersWithSpaces>
  <SharedDoc>false</SharedDoc>
  <HyperlinkBase>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
  <cp:lastModifiedBy/>
  <cp:revision>1</cp:revision>
  <cp:lastPrinted>2013-12-09T14:05:00Z</cp:lastPrinted>
  <dcterms:created xsi:type="dcterms:W3CDTF">2014-03-10T13:54:00Z</dcterms:created>
  <dcterms:modified xsi:type="dcterms:W3CDTF">2014-03-10T13:54:00Z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#26801277_v1</vt:lpwstr>
  </property>
</Properties>
</file>