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51F07" w:rsidRPr="00B82F44" w:rsidRDefault="00F9535D" w:rsidP="00146E4E">
      <w:pPr>
        <w:pStyle w:val="BlockText"/>
        <w:jc w:val="center"/>
        <w:rPr>
          <w:b/>
          <w:sz w:val="28"/>
          <w:szCs w:val="28"/>
        </w:rPr>
      </w:pPr>
      <w:r w:rsidRPr="00B82F44">
        <w:rPr>
          <w:b/>
          <w:sz w:val="28"/>
          <w:szCs w:val="28"/>
        </w:rPr>
        <w:t>The Florida Bar: Real Property, Probate and Trust Law Section</w:t>
      </w:r>
    </w:p>
    <w:p w:rsidR="009A10B6" w:rsidRPr="00832A42" w:rsidRDefault="00F9535D" w:rsidP="00832A42">
      <w:pPr>
        <w:pStyle w:val="BlockText"/>
        <w:jc w:val="center"/>
        <w:rPr>
          <w:b/>
          <w:sz w:val="28"/>
          <w:szCs w:val="28"/>
        </w:rPr>
      </w:pPr>
      <w:r w:rsidRPr="00B82F44">
        <w:rPr>
          <w:b/>
          <w:sz w:val="28"/>
          <w:szCs w:val="28"/>
        </w:rPr>
        <w:t>Construction Law Committee</w:t>
      </w:r>
    </w:p>
    <w:p w:rsidR="009E1F25" w:rsidRPr="001476D7" w:rsidRDefault="009E1F25" w:rsidP="00D8155F">
      <w:pPr>
        <w:pStyle w:val="BlockText"/>
        <w:jc w:val="center"/>
        <w:rPr>
          <w:b/>
        </w:rPr>
      </w:pPr>
    </w:p>
    <w:p w:rsidR="00F9535D" w:rsidRPr="00DF255F" w:rsidRDefault="00DE5A5D" w:rsidP="00D8155F">
      <w:pPr>
        <w:pStyle w:val="BlockText"/>
        <w:jc w:val="center"/>
        <w:rPr>
          <w:b/>
          <w:i/>
          <w:sz w:val="28"/>
          <w:szCs w:val="28"/>
          <w:u w:val="single"/>
        </w:rPr>
      </w:pPr>
      <w:r w:rsidRPr="00DF255F">
        <w:rPr>
          <w:b/>
          <w:i/>
          <w:sz w:val="28"/>
          <w:szCs w:val="28"/>
          <w:u w:val="single"/>
        </w:rPr>
        <w:t>Construction Regulation</w:t>
      </w:r>
      <w:r w:rsidR="00F9535D" w:rsidRPr="00DF255F">
        <w:rPr>
          <w:b/>
          <w:i/>
          <w:sz w:val="28"/>
          <w:szCs w:val="28"/>
          <w:u w:val="single"/>
        </w:rPr>
        <w:t xml:space="preserve"> Subcommittee</w:t>
      </w:r>
      <w:r w:rsidR="00251EB1" w:rsidRPr="00DF255F">
        <w:rPr>
          <w:b/>
          <w:i/>
          <w:sz w:val="28"/>
          <w:szCs w:val="28"/>
          <w:u w:val="single"/>
        </w:rPr>
        <w:t xml:space="preserve"> Monthly Report</w:t>
      </w:r>
    </w:p>
    <w:p w:rsidR="00F9535D" w:rsidRDefault="001476D7" w:rsidP="00286B5F">
      <w:pPr>
        <w:pStyle w:val="BlockText"/>
        <w:jc w:val="center"/>
      </w:pPr>
      <w:r>
        <w:t>Month</w:t>
      </w:r>
      <w:r w:rsidR="00D72E5C">
        <w:t>s of June/July</w:t>
      </w:r>
      <w:r w:rsidR="007D14A8">
        <w:t xml:space="preserve"> </w:t>
      </w:r>
      <w:r w:rsidR="00DE4100">
        <w:t>2014</w:t>
      </w:r>
    </w:p>
    <w:p w:rsidR="006F4CE9" w:rsidRDefault="006F4CE9" w:rsidP="00D9771C">
      <w:pPr>
        <w:pStyle w:val="BlockText"/>
        <w:rPr>
          <w:b/>
          <w:u w:val="single"/>
        </w:rPr>
      </w:pPr>
    </w:p>
    <w:p w:rsidR="007F16BD" w:rsidRDefault="009F4440" w:rsidP="007D14A8">
      <w:pPr>
        <w:pStyle w:val="BlockText"/>
        <w:rPr>
          <w:b/>
          <w:u w:val="single"/>
        </w:rPr>
      </w:pPr>
      <w:r>
        <w:rPr>
          <w:b/>
          <w:u w:val="single"/>
        </w:rPr>
        <w:t xml:space="preserve">State </w:t>
      </w:r>
      <w:r w:rsidR="00D9771C" w:rsidRPr="00D9771C">
        <w:rPr>
          <w:b/>
          <w:u w:val="single"/>
        </w:rPr>
        <w:t>Appellate Decisions:</w:t>
      </w:r>
    </w:p>
    <w:p w:rsidR="00D72E5C" w:rsidRDefault="00D72E5C" w:rsidP="007D14A8">
      <w:pPr>
        <w:pStyle w:val="BlockText"/>
        <w:rPr>
          <w:b/>
          <w:u w:val="single"/>
        </w:rPr>
      </w:pPr>
    </w:p>
    <w:p w:rsidR="00D72E5C" w:rsidRDefault="00D72E5C" w:rsidP="00D72E5C">
      <w:pPr>
        <w:jc w:val="both"/>
      </w:pPr>
      <w:r>
        <w:rPr>
          <w:lang w:val="en-CA"/>
        </w:rPr>
        <w:fldChar w:fldCharType="begin"/>
      </w:r>
      <w:r>
        <w:rPr>
          <w:lang w:val="en-CA"/>
        </w:rPr>
        <w:instrText xml:space="preserve"> SEQ CHAPTER \h \r 1</w:instrText>
      </w:r>
      <w:r>
        <w:rPr>
          <w:lang w:val="en-CA"/>
        </w:rPr>
        <w:fldChar w:fldCharType="end"/>
      </w:r>
      <w:r>
        <w:rPr>
          <w:u w:val="single"/>
        </w:rPr>
        <w:t>Visiting Nurse Association of Florida, Inc. v. Jupiter Medical Center, Inc.</w:t>
      </w:r>
      <w:r>
        <w:t>, 2014 WL 3360314 (SC11-2468, July 10, 2014).</w:t>
      </w:r>
    </w:p>
    <w:p w:rsidR="00D72E5C" w:rsidRDefault="00D72E5C" w:rsidP="00D72E5C">
      <w:pPr>
        <w:jc w:val="both"/>
      </w:pPr>
    </w:p>
    <w:p w:rsidR="00D72E5C" w:rsidRDefault="00D72E5C" w:rsidP="00D72E5C">
      <w:pPr>
        <w:jc w:val="both"/>
        <w:rPr>
          <w:i/>
          <w:iCs/>
        </w:rPr>
      </w:pPr>
      <w:r>
        <w:rPr>
          <w:i/>
          <w:iCs/>
        </w:rPr>
        <w:t>Supreme Court of Florida concludes the trial court cannot set aside an arbitrator’s award based on the claim that an arbitrator’s construction of a contract renders it illegal.</w:t>
      </w:r>
    </w:p>
    <w:p w:rsidR="00D72E5C" w:rsidRDefault="00D72E5C" w:rsidP="00D72E5C">
      <w:pPr>
        <w:jc w:val="both"/>
        <w:rPr>
          <w:i/>
          <w:iCs/>
        </w:rPr>
      </w:pPr>
    </w:p>
    <w:p w:rsidR="00D72E5C" w:rsidRDefault="00D72E5C" w:rsidP="00D72E5C">
      <w:pPr>
        <w:jc w:val="both"/>
      </w:pPr>
      <w:r>
        <w:t>This case from the Supreme Court of Florida presents an interesting survey of the present state of the law relating to the authority of arbitrators and review of arbitration awards.  The following rules are gleaned from the case:</w:t>
      </w:r>
    </w:p>
    <w:p w:rsidR="00D72E5C" w:rsidRDefault="00D72E5C" w:rsidP="00D72E5C">
      <w:pPr>
        <w:jc w:val="both"/>
      </w:pPr>
    </w:p>
    <w:p w:rsidR="00D72E5C" w:rsidRDefault="00D72E5C" w:rsidP="00D72E5C">
      <w:pPr>
        <w:tabs>
          <w:tab w:val="left" w:pos="720"/>
        </w:tabs>
        <w:ind w:left="720" w:hanging="720"/>
        <w:jc w:val="both"/>
      </w:pPr>
      <w:r>
        <w:t>●</w:t>
      </w:r>
      <w:r>
        <w:tab/>
        <w:t>the statutory grounds for modification or vacation of an arbitrator’s award are exclusive and cannot be supplemented by contract or by public policy;</w:t>
      </w:r>
    </w:p>
    <w:p w:rsidR="00D72E5C" w:rsidRDefault="00D72E5C" w:rsidP="00D72E5C">
      <w:pPr>
        <w:jc w:val="both"/>
      </w:pPr>
    </w:p>
    <w:p w:rsidR="00D72E5C" w:rsidRDefault="00D72E5C" w:rsidP="00D72E5C">
      <w:pPr>
        <w:tabs>
          <w:tab w:val="left" w:pos="720"/>
        </w:tabs>
        <w:ind w:left="720" w:hanging="720"/>
        <w:jc w:val="both"/>
      </w:pPr>
      <w:r>
        <w:t>●</w:t>
      </w:r>
      <w:r>
        <w:tab/>
        <w:t>an arbitrator’s award cannot be modified or vacated based on “manifest disregard of the law,” or, as the Court phrased it, “mere errors of law;”</w:t>
      </w:r>
    </w:p>
    <w:p w:rsidR="00D72E5C" w:rsidRDefault="00D72E5C" w:rsidP="00D72E5C">
      <w:pPr>
        <w:jc w:val="both"/>
      </w:pPr>
    </w:p>
    <w:p w:rsidR="00D72E5C" w:rsidRDefault="00D72E5C" w:rsidP="00D72E5C">
      <w:pPr>
        <w:tabs>
          <w:tab w:val="left" w:pos="720"/>
        </w:tabs>
        <w:ind w:left="720" w:hanging="720"/>
        <w:jc w:val="both"/>
      </w:pPr>
      <w:r>
        <w:t>●</w:t>
      </w:r>
      <w:r>
        <w:tab/>
        <w:t>an arbitrator’s award cannot be modified or vacated based on a claim of contract illegality;</w:t>
      </w:r>
    </w:p>
    <w:p w:rsidR="00D72E5C" w:rsidRDefault="00D72E5C" w:rsidP="00D72E5C">
      <w:pPr>
        <w:jc w:val="both"/>
      </w:pPr>
    </w:p>
    <w:p w:rsidR="00D72E5C" w:rsidRDefault="00D72E5C" w:rsidP="00D72E5C">
      <w:pPr>
        <w:tabs>
          <w:tab w:val="left" w:pos="720"/>
        </w:tabs>
        <w:ind w:left="720" w:hanging="720"/>
        <w:jc w:val="both"/>
      </w:pPr>
      <w:r>
        <w:t>●</w:t>
      </w:r>
      <w:r>
        <w:tab/>
        <w:t>the arbitrator and not the trial court, either before or after arbitration, determines challenges to the validity of the contract as a whole (as opposed to challenges to the severable arbitration agreement itself); and</w:t>
      </w:r>
    </w:p>
    <w:p w:rsidR="00D72E5C" w:rsidRDefault="00D72E5C" w:rsidP="00D72E5C">
      <w:pPr>
        <w:jc w:val="both"/>
      </w:pPr>
    </w:p>
    <w:p w:rsidR="00D72E5C" w:rsidRDefault="00D72E5C" w:rsidP="00D72E5C">
      <w:pPr>
        <w:tabs>
          <w:tab w:val="left" w:pos="720"/>
        </w:tabs>
        <w:ind w:left="720" w:hanging="720"/>
        <w:jc w:val="both"/>
      </w:pPr>
      <w:r>
        <w:t>●</w:t>
      </w:r>
      <w:r>
        <w:tab/>
        <w:t>an arbitrator does not exceed their power (a statutory ground for modifying or vacating an award) when they misinterpret contractual provisions or commit errors of law.</w:t>
      </w:r>
    </w:p>
    <w:p w:rsidR="00D72E5C" w:rsidRDefault="00D72E5C" w:rsidP="00D72E5C">
      <w:pPr>
        <w:jc w:val="both"/>
      </w:pPr>
    </w:p>
    <w:p w:rsidR="00D72E5C" w:rsidRDefault="00D72E5C" w:rsidP="00D72E5C">
      <w:pPr>
        <w:jc w:val="both"/>
      </w:pPr>
      <w:r>
        <w:t>Editor’s Note:  Case law reflects that the arbitrator decides the validity of contracts with unlicensed contractors and that the arbitrator’s ruling is not reviewable by a trial court.  While the parties cannot by contract give authority to the trial court to review such matters, is it possible to proscribe the authority of the arbitrator in the arbitration agreement to exclude the legal effect of a contractor’s licensure status?  What affect, if any, does the Florida Revised Arbitration Act have on the rulings in this case?</w:t>
      </w:r>
    </w:p>
    <w:p w:rsidR="00D72E5C" w:rsidRDefault="00D72E5C" w:rsidP="00D72E5C">
      <w:pPr>
        <w:jc w:val="both"/>
      </w:pPr>
    </w:p>
    <w:p w:rsidR="00D72E5C" w:rsidRDefault="00D72E5C" w:rsidP="00D72E5C">
      <w:pPr>
        <w:jc w:val="both"/>
      </w:pPr>
    </w:p>
    <w:p w:rsidR="00D72E5C" w:rsidRDefault="00D72E5C" w:rsidP="00D72E5C">
      <w:pPr>
        <w:jc w:val="both"/>
      </w:pPr>
      <w:r>
        <w:rPr>
          <w:u w:val="single"/>
        </w:rPr>
        <w:t>J.B.D. Construction, Inc. v. Mid-Continent Casualty Company</w:t>
      </w:r>
      <w:r>
        <w:t>, 2014 WL 3377690 (No. 13-10138, Eleventh Circuit Court of Appeals, July 11, 2014).</w:t>
      </w:r>
    </w:p>
    <w:p w:rsidR="00D72E5C" w:rsidRDefault="00D72E5C" w:rsidP="00D72E5C">
      <w:pPr>
        <w:jc w:val="both"/>
      </w:pPr>
    </w:p>
    <w:p w:rsidR="00D72E5C" w:rsidRDefault="00D72E5C" w:rsidP="00D72E5C">
      <w:pPr>
        <w:jc w:val="both"/>
      </w:pPr>
      <w:r>
        <w:rPr>
          <w:i/>
          <w:iCs/>
        </w:rPr>
        <w:t>Insurance company for contractor has duty to defend but no duty to indemnify for settlement.</w:t>
      </w:r>
    </w:p>
    <w:p w:rsidR="00D72E5C" w:rsidRDefault="00D72E5C" w:rsidP="00D72E5C">
      <w:pPr>
        <w:jc w:val="both"/>
      </w:pPr>
    </w:p>
    <w:p w:rsidR="00D72E5C" w:rsidRDefault="00D72E5C" w:rsidP="00D72E5C">
      <w:pPr>
        <w:jc w:val="both"/>
      </w:pPr>
      <w:r>
        <w:t xml:space="preserve">This case presents a concise analysis of a general liability insurer’s duty to defend and duty to indemnify for a claim based on a construction defect and related damages where the policy does not include the </w:t>
      </w:r>
      <w:r>
        <w:rPr>
          <w:u w:val="single"/>
        </w:rPr>
        <w:t>J.S.U.B.</w:t>
      </w:r>
      <w:r>
        <w:t xml:space="preserve"> subcontractor exception.  Owner filed a counterclaim against Contractor alleging damage caused by leaks when Contractor built an addition to an existing structure.  Owner sued in three counts for breach of contract, violation of the building code, and negligence, and alleged damage to the new construction and “damage to other property.”  The issue on appeal was whether the insurer had a duty to defend Contractor based on the allegations in the complaint and whether the insurer had a duty to indemnify Contractor for the settlement payment it made to Owner.</w:t>
      </w:r>
    </w:p>
    <w:p w:rsidR="00D72E5C" w:rsidRDefault="00D72E5C" w:rsidP="00D72E5C">
      <w:pPr>
        <w:jc w:val="both"/>
      </w:pPr>
      <w:r>
        <w:tab/>
      </w:r>
    </w:p>
    <w:p w:rsidR="00D72E5C" w:rsidRDefault="00D72E5C" w:rsidP="00D72E5C">
      <w:pPr>
        <w:jc w:val="both"/>
      </w:pPr>
      <w:r>
        <w:t>The Court stated the following concerning the scope of coverage of the policy:</w:t>
      </w:r>
    </w:p>
    <w:p w:rsidR="00D72E5C" w:rsidRDefault="00D72E5C" w:rsidP="00D72E5C">
      <w:pPr>
        <w:jc w:val="both"/>
      </w:pPr>
    </w:p>
    <w:p w:rsidR="00D72E5C" w:rsidRDefault="00D72E5C" w:rsidP="00D72E5C">
      <w:pPr>
        <w:ind w:left="720" w:right="720"/>
        <w:jc w:val="both"/>
      </w:pPr>
      <w:r>
        <w:t>Reading the “your work” exclusion in conjunction with the settled policy definition of “property damage,” we find that the [insurer] policy does not cover claims against [Contractor] for the cost to repair or replace any damage to the completed fitness center or its components, either based on the repair or removal of the defective construction itself, or based on the repair of any damage arising out of [Contractor’s] or its subcontractor’s defective construction.</w:t>
      </w:r>
    </w:p>
    <w:p w:rsidR="00D72E5C" w:rsidRDefault="00D72E5C" w:rsidP="00D72E5C">
      <w:pPr>
        <w:jc w:val="both"/>
      </w:pPr>
    </w:p>
    <w:p w:rsidR="00D72E5C" w:rsidRDefault="00D72E5C" w:rsidP="00D72E5C">
      <w:pPr>
        <w:jc w:val="both"/>
      </w:pPr>
      <w:r>
        <w:t>The Court stated that the duty to defend is greater than the duty to indemnify, the insurer must defend “even if the allegations in the complaint are factually incorrect or meritless,” and doubts are resolved in favor of the insured, and then held that the allegation that there was “damage to other property” was sufficient to trigger the duty to defend.</w:t>
      </w:r>
    </w:p>
    <w:p w:rsidR="00D72E5C" w:rsidRDefault="00D72E5C" w:rsidP="00D72E5C">
      <w:pPr>
        <w:jc w:val="both"/>
      </w:pPr>
    </w:p>
    <w:p w:rsidR="00D72E5C" w:rsidRDefault="00D72E5C" w:rsidP="00D72E5C">
      <w:pPr>
        <w:jc w:val="both"/>
      </w:pPr>
      <w:r>
        <w:t>The Court stated the duty to indemnify is narrower than the duty to defend, is dependent on the final judgment or final resolution of the claim, and requires the insured to “demonstrate that it suffered a loss under the policy.”  It appears that the Court found no evidence in the record of “damage to other property” despite Contractor’s evidence of engineering reports in the record.</w:t>
      </w:r>
    </w:p>
    <w:p w:rsidR="00D72E5C" w:rsidRDefault="00D72E5C" w:rsidP="00D72E5C">
      <w:pPr>
        <w:jc w:val="both"/>
      </w:pPr>
    </w:p>
    <w:p w:rsidR="00D72E5C" w:rsidRDefault="00D72E5C" w:rsidP="00D72E5C">
      <w:pPr>
        <w:jc w:val="both"/>
      </w:pPr>
      <w:r>
        <w:t>Editor’s Note: It appears that a judgment or settlement agreement that may later serve as the basis for an action against an insurer for indemnity must be drafted in such a manner that the amount attributable to a covered loss should be segregated from the part that is not.</w:t>
      </w:r>
    </w:p>
    <w:p w:rsidR="00D72E5C" w:rsidRDefault="00D72E5C" w:rsidP="00D72E5C">
      <w:pPr>
        <w:jc w:val="both"/>
      </w:pPr>
    </w:p>
    <w:p w:rsidR="00D72E5C" w:rsidRDefault="00D72E5C" w:rsidP="00D72E5C">
      <w:pPr>
        <w:pStyle w:val="BlockText"/>
        <w:rPr>
          <w:b/>
          <w:u w:val="single"/>
        </w:rPr>
      </w:pPr>
    </w:p>
    <w:p w:rsidR="00512A9F" w:rsidRDefault="00512A9F" w:rsidP="00D72E5C">
      <w:pPr>
        <w:pStyle w:val="BlockText"/>
        <w:rPr>
          <w:b/>
          <w:u w:val="single"/>
        </w:rPr>
      </w:pPr>
    </w:p>
    <w:p w:rsidR="00781A63" w:rsidRDefault="00781A63" w:rsidP="00D72E5C">
      <w:pPr>
        <w:ind w:firstLine="720"/>
        <w:jc w:val="both"/>
      </w:pPr>
      <w:r>
        <w:rPr>
          <w:lang w:val="en-CA"/>
        </w:rPr>
        <w:fldChar w:fldCharType="begin"/>
      </w:r>
      <w:r>
        <w:rPr>
          <w:lang w:val="en-CA"/>
        </w:rPr>
        <w:instrText xml:space="preserve"> SEQ CHAPTER \h \r 1</w:instrText>
      </w:r>
      <w:r>
        <w:rPr>
          <w:lang w:val="en-CA"/>
        </w:rPr>
        <w:fldChar w:fldCharType="end"/>
      </w:r>
      <w:r>
        <w:rPr>
          <w:u w:val="single"/>
        </w:rPr>
        <w:t>The Village at Dolphin Commerce Center, LLC v. Construction Service Solutions, LLC</w:t>
      </w:r>
      <w:r>
        <w:t xml:space="preserve">, 2014 WL 2116361 (3D13-1499, May 21, 2014).  </w:t>
      </w:r>
      <w:r>
        <w:rPr>
          <w:i/>
          <w:iCs/>
        </w:rPr>
        <w:t xml:space="preserve">Court defers to arbitration panel’s implied finding that the contract was enforceable even though illegal because contractor was not licensed at the time of contracting.  </w:t>
      </w:r>
      <w:r>
        <w:t>An unlicensed contractor recorded a claim of lien against an owner and filed a demand for arbitration pursuant to the contract.  Owner answered and raised the defense that the contract was unenforceable because the contractor was unlicensed.  Owner also filed a state court declaratory judgment action challenging the claim of lien on the enforceability issue, but that action was stayed because of the pending arbitration.  Arbitration panel found in favor of contractor in an order that did not directly address the enforceability issue and the trial court affirmed the award, entered judgment for the amount awarded plus attorneys’ fees under section 713.29, and enforced the lien.</w:t>
      </w:r>
    </w:p>
    <w:p w:rsidR="00781A63" w:rsidRDefault="00781A63" w:rsidP="00D72E5C">
      <w:pPr>
        <w:ind w:firstLine="720"/>
        <w:jc w:val="both"/>
      </w:pPr>
      <w:r>
        <w:t xml:space="preserve">The Third District Court of Appeal affirmed in all respects.  The court found that “determination of the legality of the contract was a decision for the arbitrators.”  This is based in part on the court’s deference to the party’s agreement to arbitrate this issue and in part on the decision of the United States Supreme Court in </w:t>
      </w:r>
      <w:r>
        <w:rPr>
          <w:u w:val="single"/>
        </w:rPr>
        <w:t>Buckeye Check Cashing, Inc. v. Cardegna</w:t>
      </w:r>
      <w:r>
        <w:t>, 546 U.S. 440 (2006)(“Unless the challenge is to the arbitration clause itself, the issue of the contract’s validity is considered by the arbitrator in the first instance.”).</w:t>
      </w:r>
    </w:p>
    <w:p w:rsidR="00781A63" w:rsidRDefault="00781A63" w:rsidP="00D72E5C">
      <w:pPr>
        <w:jc w:val="both"/>
      </w:pPr>
    </w:p>
    <w:p w:rsidR="00781A63" w:rsidRDefault="00781A63" w:rsidP="00D72E5C">
      <w:pPr>
        <w:ind w:firstLine="720"/>
        <w:jc w:val="both"/>
      </w:pPr>
      <w:r>
        <w:rPr>
          <w:u w:val="single"/>
        </w:rPr>
        <w:t>Diaz &amp; Russell Corporation v. Department of Business and Professional Regulation</w:t>
      </w:r>
      <w:r>
        <w:t xml:space="preserve">, 2014 WL 2199757 (3D13-1764, May 28, 2014). </w:t>
      </w:r>
      <w:r>
        <w:rPr>
          <w:i/>
          <w:iCs/>
        </w:rPr>
        <w:t>A licensed general contractor does not have to identify the architect in its design-build contract - DBPR oversteps its authority in sanctioning contractor.</w:t>
      </w:r>
      <w:r w:rsidR="002F2016">
        <w:t xml:space="preserve">  As reported last month, t</w:t>
      </w:r>
      <w:r>
        <w:t>he Board of Architecture and Interior Design entered a final administrative order imposing a fine of $10,000 and costs of $6,867.53 on a licensed general contractor for not identifying its intended architect before offering the design-build services.  The project was an interior partition wall with a total contract price of $5,900.  The Third District Court of Appeal reversed on the grounds the Board’s interpretation of the statute was erroneous; there is no requirement in Florida law that requires a licensed contractor to identify the architect it intends to use - it is sufficient that the architect hired by the design-build contractor is licensed as an architect.</w:t>
      </w:r>
    </w:p>
    <w:p w:rsidR="00781A63" w:rsidRDefault="002F2016" w:rsidP="002F2016">
      <w:pPr>
        <w:ind w:firstLine="720"/>
        <w:jc w:val="both"/>
      </w:pPr>
      <w:r>
        <w:rPr>
          <w:u w:val="single"/>
        </w:rPr>
        <w:t>T</w:t>
      </w:r>
      <w:r w:rsidR="00781A63">
        <w:t>he board</w:t>
      </w:r>
      <w:r>
        <w:t xml:space="preserve">’s </w:t>
      </w:r>
      <w:r w:rsidR="00781A63">
        <w:t>motion for rehearing based on an alleged factual distinction that the contractor hired an</w:t>
      </w:r>
      <w:r w:rsidR="00781A63" w:rsidRPr="002F2016">
        <w:rPr>
          <w:b/>
          <w:i/>
        </w:rPr>
        <w:t xml:space="preserve"> engineer</w:t>
      </w:r>
      <w:r w:rsidR="00781A63">
        <w:t xml:space="preserve"> to prepare the drawings and specifications, rather than an </w:t>
      </w:r>
      <w:r w:rsidR="00781A63" w:rsidRPr="002F2016">
        <w:rPr>
          <w:b/>
          <w:i/>
        </w:rPr>
        <w:t>architect</w:t>
      </w:r>
      <w:r>
        <w:t xml:space="preserve"> has been DENIED.</w:t>
      </w:r>
    </w:p>
    <w:p w:rsidR="00502614" w:rsidRDefault="00502614" w:rsidP="00D72E5C">
      <w:pPr>
        <w:autoSpaceDE w:val="0"/>
        <w:autoSpaceDN w:val="0"/>
        <w:adjustRightInd w:val="0"/>
        <w:jc w:val="both"/>
        <w:rPr>
          <w:rFonts w:ascii="TimesNewRomanPSMT" w:hAnsi="TimesNewRomanPSMT" w:cs="TimesNewRomanPSMT"/>
        </w:rPr>
      </w:pPr>
    </w:p>
    <w:p w:rsidR="00D9771C" w:rsidRDefault="00EB61E2" w:rsidP="00D72E5C">
      <w:pPr>
        <w:pStyle w:val="BlockText"/>
      </w:pPr>
      <w:r w:rsidRPr="00797252">
        <w:rPr>
          <w:b/>
          <w:u w:val="single"/>
        </w:rPr>
        <w:t>DOAH</w:t>
      </w:r>
      <w:r w:rsidR="002B09F1">
        <w:rPr>
          <w:b/>
          <w:u w:val="single"/>
        </w:rPr>
        <w:t xml:space="preserve"> Orders</w:t>
      </w:r>
      <w:r w:rsidR="00D9771C" w:rsidRPr="00797252">
        <w:rPr>
          <w:b/>
          <w:u w:val="single"/>
        </w:rPr>
        <w:t>:</w:t>
      </w:r>
      <w:r w:rsidR="0083319A" w:rsidRPr="00797252">
        <w:t xml:space="preserve"> </w:t>
      </w:r>
    </w:p>
    <w:p w:rsidR="00401A5C" w:rsidRDefault="00401A5C" w:rsidP="00D72E5C">
      <w:pPr>
        <w:pStyle w:val="BlockText"/>
      </w:pPr>
    </w:p>
    <w:p w:rsidR="003E6F51" w:rsidRDefault="00401A5C" w:rsidP="00D72E5C">
      <w:pPr>
        <w:pStyle w:val="BlockText"/>
      </w:pPr>
      <w:r>
        <w:tab/>
      </w:r>
      <w:r w:rsidR="00E253BD" w:rsidRPr="00E253BD">
        <w:rPr>
          <w:b/>
        </w:rPr>
        <w:t>FROM LAST MONTH’S REPORT: ON JUNE 30, 2014, THIS CASE AS APPEALED BY THE DEPARTMENT OF HEALTH TO THE 1</w:t>
      </w:r>
      <w:r w:rsidR="00E253BD" w:rsidRPr="00E253BD">
        <w:rPr>
          <w:b/>
          <w:vertAlign w:val="superscript"/>
        </w:rPr>
        <w:t>ST</w:t>
      </w:r>
      <w:r w:rsidR="00E253BD" w:rsidRPr="00E253BD">
        <w:rPr>
          <w:b/>
        </w:rPr>
        <w:t xml:space="preserve"> DCA ON THE ISSUE OF ATTORNEY FEES</w:t>
      </w:r>
      <w:r w:rsidR="00E253BD">
        <w:t xml:space="preserve"> </w:t>
      </w:r>
      <w:r w:rsidR="00783765" w:rsidRPr="00783765">
        <w:rPr>
          <w:i/>
          <w:u w:val="single"/>
        </w:rPr>
        <w:t>Agency for Health Care Administration v. The Chrysallis Center, Inc..</w:t>
      </w:r>
      <w:r w:rsidR="00783765">
        <w:t xml:space="preserve"> DOAH Case No. 14-0136MPI (Recommended Order entered on June 3, 2014): </w:t>
      </w:r>
      <w:r w:rsidR="007C06B0">
        <w:t>On agency’s petition to recover $284,535,83 in alleged “overpayments” of Medicaid claims for community mental health services provided (plus fines of $56,907.17 and costs of $172.29) based on program audits, for which respondent provided admitted to overpayments of only $2,587.38, “recommended order” in favor of respondent AND a “final” order for section 57.105 fees was entered, with a finding that agency knew or should have known that it lacked the necessary material facts to support its claim.</w:t>
      </w:r>
    </w:p>
    <w:p w:rsidR="007C06B0" w:rsidRPr="00691E1A" w:rsidRDefault="007C06B0" w:rsidP="00781A63">
      <w:pPr>
        <w:pStyle w:val="BlockText"/>
      </w:pPr>
      <w:r w:rsidRPr="003E6F51">
        <w:rPr>
          <w:u w:val="single"/>
        </w:rPr>
        <w:t>Editor’s Note:</w:t>
      </w:r>
      <w:r>
        <w:t xml:space="preserve"> This case exemplifies the importance of </w:t>
      </w:r>
      <w:r w:rsidR="003E6F51">
        <w:t xml:space="preserve">the respondent </w:t>
      </w:r>
      <w:r>
        <w:t>seeking attorney f</w:t>
      </w:r>
      <w:r w:rsidR="003E6F51">
        <w:t xml:space="preserve">ees in </w:t>
      </w:r>
      <w:r>
        <w:t xml:space="preserve">administrative proceedings, particularly under section 57.105 vs. section 57.111, both of which must be pled, but only the former of which appears to allow </w:t>
      </w:r>
      <w:r w:rsidR="00876A95">
        <w:t xml:space="preserve">for </w:t>
      </w:r>
      <w:r>
        <w:t>entry of a “final” order</w:t>
      </w:r>
      <w:r w:rsidR="00876A95">
        <w:t xml:space="preserve"> on liability for fees   (subject to such further evidentiary hearing may be necessary to establish the a</w:t>
      </w:r>
      <w:r w:rsidR="00876A95" w:rsidRPr="003E6F51">
        <w:rPr>
          <w:u w:val="single"/>
        </w:rPr>
        <w:t>mount</w:t>
      </w:r>
      <w:r w:rsidR="00876A95">
        <w:t xml:space="preserve"> thereof),</w:t>
      </w:r>
      <w:r>
        <w:t xml:space="preserve"> </w:t>
      </w:r>
      <w:r w:rsidR="00876A95">
        <w:t>together with a “recommended” order on the underlying issue</w:t>
      </w:r>
      <w:r w:rsidR="003E6F51">
        <w:t xml:space="preserve">. This appears to be a </w:t>
      </w:r>
      <w:r w:rsidR="002F2016">
        <w:t xml:space="preserve">case of first impression, the results of which, if upheld, </w:t>
      </w:r>
      <w:r w:rsidR="003E6F51">
        <w:t xml:space="preserve">may lead to more cases in which the recovery of attorney fees </w:t>
      </w:r>
      <w:r w:rsidR="002F2016">
        <w:t>are sought</w:t>
      </w:r>
      <w:r w:rsidR="002F2016">
        <w:t xml:space="preserve"> </w:t>
      </w:r>
      <w:r w:rsidR="007D12C5">
        <w:t>from an agency</w:t>
      </w:r>
      <w:r w:rsidR="003E6F51">
        <w:t>.</w:t>
      </w:r>
    </w:p>
    <w:p w:rsidR="003747B5" w:rsidRDefault="003747B5" w:rsidP="00DE52F2">
      <w:pPr>
        <w:pStyle w:val="BlockText"/>
      </w:pPr>
    </w:p>
    <w:p w:rsidR="004E142A" w:rsidRDefault="00DE52F2" w:rsidP="00DE52F2">
      <w:pPr>
        <w:pStyle w:val="BlockText"/>
      </w:pPr>
      <w:r>
        <w:t xml:space="preserve">A. </w:t>
      </w:r>
      <w:r w:rsidR="004E142A">
        <w:rPr>
          <w:b/>
        </w:rPr>
        <w:t xml:space="preserve">Department of </w:t>
      </w:r>
      <w:r w:rsidR="004E142A" w:rsidRPr="0098369B">
        <w:rPr>
          <w:b/>
        </w:rPr>
        <w:t>Business and Professional Regulation</w:t>
      </w:r>
      <w:r w:rsidR="004E142A">
        <w:rPr>
          <w:b/>
        </w:rPr>
        <w:t>.</w:t>
      </w:r>
    </w:p>
    <w:p w:rsidR="004E142A" w:rsidRDefault="004E142A" w:rsidP="004E142A">
      <w:pPr>
        <w:pStyle w:val="BlockText"/>
        <w:ind w:left="720"/>
      </w:pPr>
    </w:p>
    <w:p w:rsidR="002A7577" w:rsidRPr="00B36BD2" w:rsidRDefault="004E142A" w:rsidP="0008109E">
      <w:pPr>
        <w:pStyle w:val="BlockText"/>
        <w:numPr>
          <w:ilvl w:val="0"/>
          <w:numId w:val="11"/>
        </w:numPr>
        <w:rPr>
          <w:b/>
        </w:rPr>
      </w:pPr>
      <w:r w:rsidRPr="00936542">
        <w:rPr>
          <w:u w:val="single"/>
        </w:rPr>
        <w:t>Construction Industry Licensing Board</w:t>
      </w:r>
      <w:r>
        <w:t xml:space="preserve"> – Chapter 489, Part I, FS and Chapter 61G4 FAC: </w:t>
      </w:r>
    </w:p>
    <w:p w:rsidR="00B36BD2" w:rsidRPr="002A7577" w:rsidRDefault="00B36BD2" w:rsidP="00B36BD2">
      <w:pPr>
        <w:pStyle w:val="BlockText"/>
        <w:ind w:left="1080"/>
        <w:rPr>
          <w:b/>
        </w:rPr>
      </w:pPr>
    </w:p>
    <w:p w:rsidR="00B92C29" w:rsidRPr="00B92C29" w:rsidRDefault="00E1125C" w:rsidP="0008109E">
      <w:pPr>
        <w:pStyle w:val="BlockText"/>
        <w:numPr>
          <w:ilvl w:val="1"/>
          <w:numId w:val="11"/>
        </w:numPr>
        <w:rPr>
          <w:b/>
        </w:rPr>
      </w:pPr>
      <w:r>
        <w:t xml:space="preserve">This board has </w:t>
      </w:r>
      <w:r w:rsidR="00052694">
        <w:t>proposed</w:t>
      </w:r>
      <w:r>
        <w:t xml:space="preserve"> </w:t>
      </w:r>
      <w:r w:rsidR="004E142A">
        <w:t>adopt</w:t>
      </w:r>
      <w:r>
        <w:t>ed, repealed</w:t>
      </w:r>
      <w:r w:rsidR="004E142A">
        <w:t xml:space="preserve"> or amend</w:t>
      </w:r>
      <w:r>
        <w:t>ed</w:t>
      </w:r>
      <w:r w:rsidR="004E142A">
        <w:t xml:space="preserve"> the following rules (if any)</w:t>
      </w:r>
      <w:r w:rsidR="00B754FE">
        <w:t>:</w:t>
      </w:r>
    </w:p>
    <w:p w:rsidR="00B36BD2" w:rsidRPr="00B36BD2" w:rsidRDefault="00B36BD2" w:rsidP="00AB392A">
      <w:pPr>
        <w:pStyle w:val="BlockText"/>
        <w:rPr>
          <w:b/>
        </w:rPr>
      </w:pPr>
    </w:p>
    <w:p w:rsidR="00AB392A" w:rsidRPr="00AB392A" w:rsidRDefault="00B36BD2" w:rsidP="00AB392A">
      <w:pPr>
        <w:pStyle w:val="BlockText"/>
        <w:numPr>
          <w:ilvl w:val="2"/>
          <w:numId w:val="11"/>
        </w:numPr>
        <w:rPr>
          <w:b/>
        </w:rPr>
      </w:pPr>
      <w:r>
        <w:t>P</w:t>
      </w:r>
      <w:r w:rsidR="00C959A0">
        <w:t>roposed R</w:t>
      </w:r>
      <w:r w:rsidR="00B92C29">
        <w:t>ule 61G4-15.039, which would create a new specialty contractor l</w:t>
      </w:r>
      <w:r>
        <w:t>ic</w:t>
      </w:r>
      <w:r w:rsidR="00B665B0">
        <w:t>ense for “Industrial Facilities,</w:t>
      </w:r>
      <w:r>
        <w:t>”</w:t>
      </w:r>
      <w:r w:rsidR="00B665B0">
        <w:t xml:space="preserve"> </w:t>
      </w:r>
      <w:r w:rsidR="00F6434D">
        <w:t xml:space="preserve">is pending adverse </w:t>
      </w:r>
      <w:r w:rsidR="00D45FC8">
        <w:t>comments</w:t>
      </w:r>
      <w:r w:rsidR="00F6434D">
        <w:t xml:space="preserve"> have been made by Joint Administrative Procedures Committee</w:t>
      </w:r>
      <w:r w:rsidR="00D45FC8">
        <w:t xml:space="preserve"> as of July 8th</w:t>
      </w:r>
      <w:r w:rsidR="00F6434D">
        <w:t>, which must be addressed by the board before</w:t>
      </w:r>
      <w:r w:rsidR="00D45FC8">
        <w:t xml:space="preserve"> becoming effective</w:t>
      </w:r>
      <w:r w:rsidR="00AB392A">
        <w:t>.</w:t>
      </w:r>
    </w:p>
    <w:p w:rsidR="00AB392A" w:rsidRPr="00781A63" w:rsidRDefault="00AB392A" w:rsidP="00AB392A">
      <w:pPr>
        <w:pStyle w:val="BlockText"/>
        <w:ind w:left="2520"/>
        <w:rPr>
          <w:b/>
        </w:rPr>
      </w:pPr>
      <w:r w:rsidRPr="00781A63">
        <w:rPr>
          <w:b/>
        </w:rPr>
        <w:t xml:space="preserve"> </w:t>
      </w:r>
    </w:p>
    <w:p w:rsidR="00AB392A" w:rsidRPr="00AB392A" w:rsidRDefault="00B36BD2" w:rsidP="00462FE7">
      <w:pPr>
        <w:pStyle w:val="BlockText"/>
        <w:numPr>
          <w:ilvl w:val="2"/>
          <w:numId w:val="11"/>
        </w:numPr>
        <w:rPr>
          <w:b/>
        </w:rPr>
      </w:pPr>
      <w:r>
        <w:t xml:space="preserve">Proposed Rule 61G4-15.040, which would create a new specialty contractor license for </w:t>
      </w:r>
      <w:r w:rsidRPr="00AB392A">
        <w:rPr>
          <w:u w:val="single"/>
        </w:rPr>
        <w:t>Residential</w:t>
      </w:r>
      <w:r>
        <w:t xml:space="preserve"> Pool Servicing</w:t>
      </w:r>
      <w:r w:rsidR="00592B85">
        <w:t>, became effective on June 22</w:t>
      </w:r>
      <w:r w:rsidR="00AB392A">
        <w:t>, 2014.</w:t>
      </w:r>
    </w:p>
    <w:p w:rsidR="00E62413" w:rsidRPr="00AB392A" w:rsidRDefault="00E62413" w:rsidP="00AB392A">
      <w:pPr>
        <w:rPr>
          <w:b/>
        </w:rPr>
      </w:pPr>
    </w:p>
    <w:p w:rsidR="00E62413" w:rsidRPr="00421A4C" w:rsidRDefault="00E62413" w:rsidP="00421A4C">
      <w:pPr>
        <w:pStyle w:val="Default"/>
        <w:numPr>
          <w:ilvl w:val="1"/>
          <w:numId w:val="11"/>
        </w:numPr>
        <w:rPr>
          <w:rFonts w:asciiTheme="majorHAnsi" w:hAnsiTheme="majorHAnsi" w:cstheme="majorHAnsi"/>
        </w:rPr>
      </w:pPr>
      <w:r>
        <w:rPr>
          <w:rFonts w:asciiTheme="majorHAnsi" w:hAnsiTheme="majorHAnsi" w:cstheme="majorHAnsi"/>
        </w:rPr>
        <w:t>The following Petitions for Declaratory Statement hav</w:t>
      </w:r>
      <w:r w:rsidR="00421A4C">
        <w:rPr>
          <w:rFonts w:asciiTheme="majorHAnsi" w:hAnsiTheme="majorHAnsi" w:cstheme="majorHAnsi"/>
        </w:rPr>
        <w:t>e been disposed of: None noticed at this time.</w:t>
      </w:r>
    </w:p>
    <w:p w:rsidR="002A7577" w:rsidRPr="002A7577" w:rsidRDefault="002A7577" w:rsidP="0094446C">
      <w:pPr>
        <w:pStyle w:val="BlockText"/>
        <w:rPr>
          <w:b/>
        </w:rPr>
      </w:pPr>
    </w:p>
    <w:p w:rsidR="000C4BC7" w:rsidRDefault="004E142A" w:rsidP="0008109E">
      <w:pPr>
        <w:pStyle w:val="Default"/>
        <w:numPr>
          <w:ilvl w:val="1"/>
          <w:numId w:val="11"/>
        </w:numPr>
        <w:jc w:val="both"/>
        <w:rPr>
          <w:rFonts w:asciiTheme="majorHAnsi" w:hAnsiTheme="majorHAnsi" w:cstheme="majorHAnsi"/>
        </w:rPr>
      </w:pPr>
      <w:r w:rsidRPr="00BA7E0B">
        <w:rPr>
          <w:rFonts w:asciiTheme="majorHAnsi" w:hAnsiTheme="majorHAnsi" w:cstheme="majorHAnsi"/>
        </w:rPr>
        <w:t>This bo</w:t>
      </w:r>
      <w:r w:rsidR="000C4BC7">
        <w:rPr>
          <w:rFonts w:asciiTheme="majorHAnsi" w:hAnsiTheme="majorHAnsi" w:cstheme="majorHAnsi"/>
        </w:rPr>
        <w:t xml:space="preserve">ard has received </w:t>
      </w:r>
      <w:r w:rsidRPr="00BA7E0B">
        <w:rPr>
          <w:rFonts w:asciiTheme="majorHAnsi" w:hAnsiTheme="majorHAnsi" w:cstheme="majorHAnsi"/>
        </w:rPr>
        <w:t>the following Petitions for</w:t>
      </w:r>
      <w:r w:rsidR="000C4BC7">
        <w:rPr>
          <w:rFonts w:asciiTheme="majorHAnsi" w:hAnsiTheme="majorHAnsi" w:cstheme="majorHAnsi"/>
        </w:rPr>
        <w:t xml:space="preserve"> Declaratory Statement</w:t>
      </w:r>
      <w:r w:rsidR="00DB01F6" w:rsidRPr="00BA7E0B">
        <w:rPr>
          <w:rFonts w:asciiTheme="majorHAnsi" w:hAnsiTheme="majorHAnsi" w:cstheme="majorHAnsi"/>
        </w:rPr>
        <w:t>:</w:t>
      </w:r>
    </w:p>
    <w:p w:rsidR="00C5163E" w:rsidRDefault="00C5163E" w:rsidP="00C5163E">
      <w:pPr>
        <w:pStyle w:val="Default"/>
        <w:ind w:left="1800"/>
        <w:jc w:val="both"/>
        <w:rPr>
          <w:rFonts w:asciiTheme="majorHAnsi" w:hAnsiTheme="majorHAnsi" w:cstheme="majorHAnsi"/>
        </w:rPr>
      </w:pPr>
    </w:p>
    <w:p w:rsidR="00C5163E" w:rsidRDefault="00421A4C" w:rsidP="001201C0">
      <w:pPr>
        <w:pStyle w:val="Default"/>
        <w:numPr>
          <w:ilvl w:val="2"/>
          <w:numId w:val="11"/>
        </w:numPr>
        <w:jc w:val="both"/>
        <w:rPr>
          <w:rFonts w:asciiTheme="majorHAnsi" w:hAnsiTheme="majorHAnsi" w:cstheme="majorHAnsi"/>
        </w:rPr>
      </w:pPr>
      <w:r>
        <w:rPr>
          <w:rFonts w:asciiTheme="majorHAnsi" w:hAnsiTheme="majorHAnsi" w:cstheme="majorHAnsi"/>
          <w:b/>
          <w:bCs/>
        </w:rPr>
        <w:t>Robert McCandress</w:t>
      </w:r>
      <w:r>
        <w:rPr>
          <w:rFonts w:asciiTheme="majorHAnsi" w:hAnsiTheme="majorHAnsi" w:cstheme="majorHAnsi"/>
        </w:rPr>
        <w:t xml:space="preserve"> - Petition filed on June 10</w:t>
      </w:r>
      <w:r w:rsidR="00C5163E" w:rsidRPr="008E5BE5">
        <w:rPr>
          <w:rFonts w:asciiTheme="majorHAnsi" w:hAnsiTheme="majorHAnsi" w:cstheme="majorHAnsi"/>
        </w:rPr>
        <w:t xml:space="preserve">, 2014, seeking the agency’s opinion whether </w:t>
      </w:r>
      <w:r>
        <w:rPr>
          <w:rFonts w:asciiTheme="majorHAnsi" w:hAnsiTheme="majorHAnsi" w:cstheme="majorHAnsi"/>
        </w:rPr>
        <w:t xml:space="preserve">“at property line” </w:t>
      </w:r>
      <w:r>
        <w:rPr>
          <w:rFonts w:asciiTheme="majorHAnsi" w:hAnsiTheme="majorHAnsi" w:cstheme="majorHAnsi"/>
        </w:rPr>
        <w:t>in Section 489.105(n) applies to Unde</w:t>
      </w:r>
      <w:r w:rsidR="0092555A">
        <w:rPr>
          <w:rFonts w:asciiTheme="majorHAnsi" w:hAnsiTheme="majorHAnsi" w:cstheme="majorHAnsi"/>
        </w:rPr>
        <w:t>rground Utility and Excavation c</w:t>
      </w:r>
      <w:r>
        <w:rPr>
          <w:rFonts w:asciiTheme="majorHAnsi" w:hAnsiTheme="majorHAnsi" w:cstheme="majorHAnsi"/>
        </w:rPr>
        <w:t>ontractor</w:t>
      </w:r>
      <w:r w:rsidR="0092555A">
        <w:rPr>
          <w:rFonts w:asciiTheme="majorHAnsi" w:hAnsiTheme="majorHAnsi" w:cstheme="majorHAnsi"/>
        </w:rPr>
        <w:t>s and Plumbing c</w:t>
      </w:r>
      <w:r>
        <w:rPr>
          <w:rFonts w:asciiTheme="majorHAnsi" w:hAnsiTheme="majorHAnsi" w:cstheme="majorHAnsi"/>
        </w:rPr>
        <w:t>ontractor</w:t>
      </w:r>
      <w:r w:rsidR="0092555A">
        <w:rPr>
          <w:rFonts w:asciiTheme="majorHAnsi" w:hAnsiTheme="majorHAnsi" w:cstheme="majorHAnsi"/>
        </w:rPr>
        <w:t>s</w:t>
      </w:r>
      <w:r>
        <w:rPr>
          <w:rFonts w:asciiTheme="majorHAnsi" w:hAnsiTheme="majorHAnsi" w:cstheme="majorHAnsi"/>
        </w:rPr>
        <w:t>.</w:t>
      </w:r>
      <w:r w:rsidR="008E5BE5" w:rsidRPr="008E5BE5">
        <w:rPr>
          <w:rFonts w:asciiTheme="majorHAnsi" w:hAnsiTheme="majorHAnsi" w:cstheme="majorHAnsi"/>
        </w:rPr>
        <w:t xml:space="preserve"> </w:t>
      </w:r>
    </w:p>
    <w:p w:rsidR="0092555A" w:rsidRDefault="0092555A" w:rsidP="0092555A">
      <w:pPr>
        <w:pStyle w:val="Default"/>
        <w:ind w:left="2520"/>
        <w:jc w:val="both"/>
        <w:rPr>
          <w:rFonts w:asciiTheme="majorHAnsi" w:hAnsiTheme="majorHAnsi" w:cstheme="majorHAnsi"/>
        </w:rPr>
      </w:pPr>
    </w:p>
    <w:p w:rsidR="0092555A" w:rsidRPr="008E5BE5" w:rsidRDefault="0092555A" w:rsidP="001201C0">
      <w:pPr>
        <w:pStyle w:val="Default"/>
        <w:numPr>
          <w:ilvl w:val="2"/>
          <w:numId w:val="11"/>
        </w:numPr>
        <w:jc w:val="both"/>
        <w:rPr>
          <w:rFonts w:asciiTheme="majorHAnsi" w:hAnsiTheme="majorHAnsi" w:cstheme="majorHAnsi"/>
        </w:rPr>
      </w:pPr>
      <w:r>
        <w:rPr>
          <w:rFonts w:asciiTheme="majorHAnsi" w:hAnsiTheme="majorHAnsi" w:cstheme="majorHAnsi"/>
          <w:b/>
          <w:bCs/>
        </w:rPr>
        <w:t>Frederic D</w:t>
      </w:r>
      <w:r w:rsidRPr="0092555A">
        <w:rPr>
          <w:rFonts w:asciiTheme="majorHAnsi" w:hAnsiTheme="majorHAnsi" w:cstheme="majorHAnsi"/>
          <w:b/>
        </w:rPr>
        <w:t xml:space="preserve">. Hagen </w:t>
      </w:r>
      <w:r>
        <w:rPr>
          <w:rFonts w:asciiTheme="majorHAnsi" w:hAnsiTheme="majorHAnsi" w:cstheme="majorHAnsi"/>
        </w:rPr>
        <w:t>– Petition filed on May 10, 2014, seeking the agency’s opinion whether the mandatory annual inspection of “backflow preventions devices” must (as required by the City of Tallahassee) must be performed by a licensed Plumbing contractor.</w:t>
      </w:r>
    </w:p>
    <w:p w:rsidR="00B228D4" w:rsidRDefault="00B228D4" w:rsidP="0094446C">
      <w:pPr>
        <w:jc w:val="both"/>
      </w:pPr>
    </w:p>
    <w:p w:rsidR="00A52844" w:rsidRDefault="004E142A" w:rsidP="00416CC9">
      <w:pPr>
        <w:pStyle w:val="BlockText"/>
        <w:numPr>
          <w:ilvl w:val="1"/>
          <w:numId w:val="11"/>
        </w:numPr>
      </w:pPr>
      <w:r>
        <w:t>This board has received or dis</w:t>
      </w:r>
      <w:r w:rsidR="002558FB">
        <w:t>posed of the following Petition</w:t>
      </w:r>
      <w:r>
        <w:t xml:space="preserve"> for Va</w:t>
      </w:r>
      <w:r w:rsidR="0092555A">
        <w:t>riance or Waiver</w:t>
      </w:r>
      <w:r w:rsidR="008C23E6">
        <w:t>:</w:t>
      </w:r>
    </w:p>
    <w:p w:rsidR="0092555A" w:rsidRDefault="0092555A" w:rsidP="0092555A">
      <w:pPr>
        <w:pStyle w:val="BlockText"/>
        <w:numPr>
          <w:ilvl w:val="2"/>
          <w:numId w:val="11"/>
        </w:numPr>
      </w:pPr>
      <w:r w:rsidRPr="0092555A">
        <w:rPr>
          <w:b/>
        </w:rPr>
        <w:t>Gerald R. Laschober</w:t>
      </w:r>
      <w:r>
        <w:t xml:space="preserve"> – Order entered on May 23, 2014, </w:t>
      </w:r>
      <w:r w:rsidRPr="0092555A">
        <w:rPr>
          <w:b/>
        </w:rPr>
        <w:t>DENIED waiver</w:t>
      </w:r>
      <w:r>
        <w:t xml:space="preserve"> from rule providing that “financial responsibility” and “financial stability” be demonstrated by the lack of any outstanding judgments or unpaid liens in order to obtain license.</w:t>
      </w:r>
    </w:p>
    <w:p w:rsidR="0092555A" w:rsidRDefault="0092555A" w:rsidP="0092555A">
      <w:pPr>
        <w:pStyle w:val="BlockText"/>
        <w:ind w:left="2520"/>
      </w:pPr>
    </w:p>
    <w:p w:rsidR="0092555A" w:rsidRDefault="0092555A" w:rsidP="0092555A">
      <w:pPr>
        <w:pStyle w:val="BlockText"/>
        <w:numPr>
          <w:ilvl w:val="2"/>
          <w:numId w:val="11"/>
        </w:numPr>
      </w:pPr>
      <w:r w:rsidRPr="0092555A">
        <w:rPr>
          <w:b/>
        </w:rPr>
        <w:t>Sean Tanner</w:t>
      </w:r>
      <w:r>
        <w:t xml:space="preserve"> – Order entered on May 23, 2014, </w:t>
      </w:r>
      <w:r w:rsidRPr="0092555A">
        <w:rPr>
          <w:b/>
        </w:rPr>
        <w:t>GRANTED waiver</w:t>
      </w:r>
      <w:r>
        <w:t xml:space="preserve"> from </w:t>
      </w:r>
      <w:r>
        <w:t>rule providing that “financial responsibility” and “financial stability” be demonstrated by the lack of any outstand</w:t>
      </w:r>
      <w:r>
        <w:t>ing judgments or unpaid liens i</w:t>
      </w:r>
      <w:r>
        <w:t>n order to obtain license</w:t>
      </w:r>
      <w:r>
        <w:t>.</w:t>
      </w:r>
    </w:p>
    <w:p w:rsidR="0092555A" w:rsidRDefault="0092555A" w:rsidP="0092555A">
      <w:pPr>
        <w:pStyle w:val="ListParagraph"/>
      </w:pPr>
    </w:p>
    <w:p w:rsidR="0092555A" w:rsidRDefault="0092555A" w:rsidP="0092555A">
      <w:pPr>
        <w:pStyle w:val="BlockText"/>
        <w:numPr>
          <w:ilvl w:val="2"/>
          <w:numId w:val="11"/>
        </w:numPr>
      </w:pPr>
      <w:r w:rsidRPr="0092555A">
        <w:rPr>
          <w:b/>
        </w:rPr>
        <w:t>Sigurdis Persaud</w:t>
      </w:r>
      <w:r>
        <w:t xml:space="preserve"> – Order entered on May 23, 2014, DENIED wavier from rule limiting use of passing grades to four (4) years.</w:t>
      </w:r>
    </w:p>
    <w:p w:rsidR="0092555A" w:rsidRDefault="0092555A" w:rsidP="0092555A">
      <w:pPr>
        <w:pStyle w:val="ListParagraph"/>
      </w:pPr>
    </w:p>
    <w:p w:rsidR="0092555A" w:rsidRDefault="0092555A" w:rsidP="0092555A">
      <w:pPr>
        <w:pStyle w:val="BlockText"/>
        <w:numPr>
          <w:ilvl w:val="2"/>
          <w:numId w:val="11"/>
        </w:numPr>
      </w:pPr>
      <w:r>
        <w:rPr>
          <w:b/>
        </w:rPr>
        <w:t>Eligha L. Pryor</w:t>
      </w:r>
      <w:r>
        <w:t xml:space="preserve"> – Order entered on May 23, 2014, DENIED wavier from rule limiting use of passing grades to four (4) years.</w:t>
      </w:r>
    </w:p>
    <w:p w:rsidR="00BA7E0B" w:rsidRDefault="00BA7E0B" w:rsidP="00AE36D0">
      <w:pPr>
        <w:pStyle w:val="BlockText"/>
      </w:pPr>
    </w:p>
    <w:p w:rsidR="00B228D4" w:rsidRDefault="004E142A" w:rsidP="0008109E">
      <w:pPr>
        <w:pStyle w:val="BlockText"/>
        <w:numPr>
          <w:ilvl w:val="0"/>
          <w:numId w:val="11"/>
        </w:numPr>
      </w:pPr>
      <w:r w:rsidRPr="00BD45AE">
        <w:rPr>
          <w:u w:val="single"/>
        </w:rPr>
        <w:t>Electrical Contracting Licensing Board</w:t>
      </w:r>
      <w:r>
        <w:t xml:space="preserve"> (includes both electricians and alarm contractors) – Chapter </w:t>
      </w:r>
      <w:r w:rsidR="00EF30B1">
        <w:t>489, Part II, FS and 61G6, FAC</w:t>
      </w:r>
      <w:r w:rsidR="00BD45AE">
        <w:t xml:space="preserve">: </w:t>
      </w:r>
    </w:p>
    <w:p w:rsidR="00BD45AE" w:rsidRDefault="00BD45AE" w:rsidP="00BE7523">
      <w:pPr>
        <w:pStyle w:val="BlockText"/>
      </w:pPr>
    </w:p>
    <w:p w:rsidR="00480712" w:rsidRDefault="00BD45AE" w:rsidP="0008109E">
      <w:pPr>
        <w:pStyle w:val="BlockText"/>
        <w:numPr>
          <w:ilvl w:val="1"/>
          <w:numId w:val="11"/>
        </w:numPr>
      </w:pPr>
      <w:r>
        <w:t xml:space="preserve">This board has </w:t>
      </w:r>
      <w:r w:rsidR="00BE7523">
        <w:t>proposed</w:t>
      </w:r>
      <w:r>
        <w:t xml:space="preserve"> adopted, repealed or amended the following rules (if any): </w:t>
      </w:r>
      <w:r w:rsidR="0092555A">
        <w:t xml:space="preserve"> None noticed.</w:t>
      </w:r>
    </w:p>
    <w:p w:rsidR="00BA7E0B" w:rsidRDefault="00BA7E0B" w:rsidP="00BA7E0B">
      <w:pPr>
        <w:pStyle w:val="BlockText"/>
        <w:ind w:left="1800"/>
      </w:pPr>
    </w:p>
    <w:p w:rsidR="00576B27" w:rsidRDefault="004E142A" w:rsidP="0008109E">
      <w:pPr>
        <w:pStyle w:val="BlockText"/>
        <w:numPr>
          <w:ilvl w:val="1"/>
          <w:numId w:val="11"/>
        </w:numPr>
      </w:pPr>
      <w:r>
        <w:t xml:space="preserve">This board has received or disposed of the following Petitions for </w:t>
      </w:r>
      <w:r w:rsidR="00480712">
        <w:t>Declaratory Statement (if any):</w:t>
      </w:r>
      <w:r w:rsidR="00576B27">
        <w:t xml:space="preserve"> </w:t>
      </w:r>
      <w:r w:rsidR="0092555A">
        <w:rPr>
          <w:b/>
        </w:rPr>
        <w:t>Voipnet Assist, LLC</w:t>
      </w:r>
      <w:r w:rsidR="00CB169A">
        <w:rPr>
          <w:b/>
        </w:rPr>
        <w:t xml:space="preserve"> </w:t>
      </w:r>
      <w:r w:rsidR="00CB169A" w:rsidRPr="00CB169A">
        <w:t>(DS 2014-058)</w:t>
      </w:r>
      <w:r w:rsidR="0092555A" w:rsidRPr="00CB169A">
        <w:t xml:space="preserve"> </w:t>
      </w:r>
      <w:r w:rsidR="0092555A">
        <w:t>– petition filed on April 1</w:t>
      </w:r>
      <w:r w:rsidR="00576B27">
        <w:t xml:space="preserve">, 2014, seeking </w:t>
      </w:r>
      <w:r w:rsidR="0084009D">
        <w:t xml:space="preserve">the board’s determination of whether </w:t>
      </w:r>
      <w:r w:rsidR="00CB169A">
        <w:t>a license is required for installation of video surveillance equipment (cameras, recorders and CAT5 or CAT6 cables) was answered in the AFFIRMATIVE by order entered on June 20, 2014.</w:t>
      </w:r>
      <w:r w:rsidR="0084009D">
        <w:t>.</w:t>
      </w:r>
    </w:p>
    <w:p w:rsidR="00480712" w:rsidRDefault="00480712" w:rsidP="00480712">
      <w:pPr>
        <w:pStyle w:val="BlockText"/>
        <w:ind w:left="1800"/>
      </w:pPr>
    </w:p>
    <w:p w:rsidR="004E142A" w:rsidRDefault="004E142A" w:rsidP="0008109E">
      <w:pPr>
        <w:pStyle w:val="BlockText"/>
        <w:numPr>
          <w:ilvl w:val="1"/>
          <w:numId w:val="11"/>
        </w:numPr>
      </w:pPr>
      <w:r>
        <w:t xml:space="preserve">This board has received or disposed of the following Petitions for </w:t>
      </w:r>
      <w:r w:rsidR="009E2A70">
        <w:t>Va</w:t>
      </w:r>
      <w:r w:rsidR="00CB169A">
        <w:t xml:space="preserve">riance or Waiver </w:t>
      </w:r>
    </w:p>
    <w:p w:rsidR="00CB169A" w:rsidRDefault="00CB169A" w:rsidP="00CB169A">
      <w:pPr>
        <w:pStyle w:val="ListParagraph"/>
      </w:pPr>
    </w:p>
    <w:p w:rsidR="00CB169A" w:rsidRDefault="00CB169A" w:rsidP="00CB169A">
      <w:pPr>
        <w:pStyle w:val="BlockText"/>
        <w:numPr>
          <w:ilvl w:val="2"/>
          <w:numId w:val="11"/>
        </w:numPr>
        <w:tabs>
          <w:tab w:val="left" w:pos="2340"/>
        </w:tabs>
        <w:ind w:left="2340"/>
      </w:pPr>
      <w:r w:rsidRPr="00CB169A">
        <w:rPr>
          <w:b/>
        </w:rPr>
        <w:t>William Lighting and Retrofit, LLC</w:t>
      </w:r>
      <w:r>
        <w:t xml:space="preserve"> – Petition received on June 6, 2014, seeking a variance or waiver from Rule 61G6-9.004(7) providing that during any biennial period, licensee may obtain credit for taking a particular CE course only once.</w:t>
      </w:r>
    </w:p>
    <w:p w:rsidR="00CB169A" w:rsidRDefault="00CB169A" w:rsidP="00CB169A">
      <w:pPr>
        <w:pStyle w:val="BlockText"/>
        <w:tabs>
          <w:tab w:val="left" w:pos="2340"/>
        </w:tabs>
        <w:ind w:left="2340"/>
      </w:pPr>
    </w:p>
    <w:p w:rsidR="00CB169A" w:rsidRDefault="00CB169A" w:rsidP="00CB169A">
      <w:pPr>
        <w:pStyle w:val="BlockText"/>
        <w:numPr>
          <w:ilvl w:val="2"/>
          <w:numId w:val="11"/>
        </w:numPr>
        <w:tabs>
          <w:tab w:val="left" w:pos="2340"/>
        </w:tabs>
        <w:ind w:left="2340"/>
      </w:pPr>
      <w:r w:rsidRPr="00CB169A">
        <w:rPr>
          <w:b/>
        </w:rPr>
        <w:t xml:space="preserve">Robert S. Boehm – </w:t>
      </w:r>
      <w:r>
        <w:t>Order entered on June 20, 2014, GRANTING a waiver</w:t>
      </w:r>
    </w:p>
    <w:p w:rsidR="00CB169A" w:rsidRDefault="000B1E71" w:rsidP="00CB169A">
      <w:pPr>
        <w:pStyle w:val="BlockText"/>
        <w:tabs>
          <w:tab w:val="left" w:pos="2340"/>
        </w:tabs>
        <w:ind w:left="2340"/>
      </w:pPr>
      <w:r>
        <w:t>from</w:t>
      </w:r>
      <w:r w:rsidR="00CB169A">
        <w:t xml:space="preserve"> Rule 61G6-6.017</w:t>
      </w:r>
      <w:r>
        <w:t xml:space="preserve"> requiring that a passing score is valid only for a period of two (2) years from date of examination.</w:t>
      </w:r>
    </w:p>
    <w:p w:rsidR="004E142A" w:rsidRDefault="004E142A" w:rsidP="001E3281">
      <w:pPr>
        <w:pStyle w:val="BlockText"/>
      </w:pPr>
    </w:p>
    <w:p w:rsidR="004E142A" w:rsidRDefault="004E142A" w:rsidP="0008109E">
      <w:pPr>
        <w:pStyle w:val="BlockText"/>
        <w:numPr>
          <w:ilvl w:val="0"/>
          <w:numId w:val="11"/>
        </w:numPr>
      </w:pPr>
      <w:r w:rsidRPr="00CF2384">
        <w:rPr>
          <w:u w:val="single"/>
        </w:rPr>
        <w:t>Board of Architecture and Interior Design</w:t>
      </w:r>
      <w:r>
        <w:t xml:space="preserve"> – Chapter 481, Part I, FS and 61G1 FAC: </w:t>
      </w:r>
    </w:p>
    <w:p w:rsidR="004E142A" w:rsidRDefault="004E142A" w:rsidP="004E142A">
      <w:pPr>
        <w:pStyle w:val="BlockText"/>
        <w:ind w:left="1080"/>
      </w:pPr>
    </w:p>
    <w:p w:rsidR="003C40E8" w:rsidRDefault="00E1125C" w:rsidP="0008109E">
      <w:pPr>
        <w:pStyle w:val="BlockText"/>
        <w:numPr>
          <w:ilvl w:val="1"/>
          <w:numId w:val="11"/>
        </w:numPr>
      </w:pPr>
      <w:r>
        <w:t>This board has proposed, adopted, repealed or ame</w:t>
      </w:r>
      <w:r w:rsidR="000B1E71">
        <w:t xml:space="preserve">nded the following rules: </w:t>
      </w:r>
      <w:r w:rsidR="00D500CC">
        <w:t xml:space="preserve">None noticed. </w:t>
      </w:r>
    </w:p>
    <w:p w:rsidR="00AC4FD0" w:rsidRDefault="00AC4FD0" w:rsidP="00AC4FD0">
      <w:pPr>
        <w:pStyle w:val="BlockText"/>
        <w:ind w:left="1800"/>
      </w:pPr>
    </w:p>
    <w:p w:rsidR="004E142A" w:rsidRDefault="004E142A" w:rsidP="0008109E">
      <w:pPr>
        <w:pStyle w:val="BlockText"/>
        <w:numPr>
          <w:ilvl w:val="1"/>
          <w:numId w:val="11"/>
        </w:numPr>
      </w:pPr>
      <w:r>
        <w:t xml:space="preserve">This board has received or disposed of the following Petitions for Declaratory Statement (if any): </w:t>
      </w:r>
      <w:r w:rsidR="009E2A70">
        <w:t>None</w:t>
      </w:r>
      <w:r w:rsidR="002558FB">
        <w:t xml:space="preserve"> noticed</w:t>
      </w:r>
      <w:r w:rsidR="009E2A70">
        <w:t>.</w:t>
      </w:r>
    </w:p>
    <w:p w:rsidR="004E142A" w:rsidRDefault="004E142A" w:rsidP="004E142A">
      <w:pPr>
        <w:pStyle w:val="ListParagraph"/>
      </w:pPr>
    </w:p>
    <w:p w:rsidR="004E142A" w:rsidRDefault="004E142A" w:rsidP="0008109E">
      <w:pPr>
        <w:pStyle w:val="BlockText"/>
        <w:numPr>
          <w:ilvl w:val="1"/>
          <w:numId w:val="11"/>
        </w:numPr>
      </w:pPr>
      <w:r>
        <w:t>This board has received or disposed of the following Petitions f</w:t>
      </w:r>
      <w:r w:rsidR="00273404">
        <w:t>or Variance or Waiver (if any):</w:t>
      </w:r>
      <w:r w:rsidR="00AC4FD0">
        <w:t xml:space="preserve"> None noticed.</w:t>
      </w:r>
    </w:p>
    <w:p w:rsidR="004E2A5D" w:rsidRDefault="004E2A5D" w:rsidP="00AC4FD0">
      <w:pPr>
        <w:pStyle w:val="BlockText"/>
      </w:pPr>
    </w:p>
    <w:p w:rsidR="004E142A" w:rsidRDefault="004E142A" w:rsidP="00D500CC">
      <w:pPr>
        <w:pStyle w:val="BlockText"/>
        <w:numPr>
          <w:ilvl w:val="0"/>
          <w:numId w:val="11"/>
        </w:numPr>
      </w:pPr>
      <w:r w:rsidRPr="00EF1953">
        <w:rPr>
          <w:u w:val="single"/>
        </w:rPr>
        <w:t>Board of Landscape Architecture</w:t>
      </w:r>
      <w:r>
        <w:t xml:space="preserve"> – Chapter 481, Part II, FS and 61G10 FAC: </w:t>
      </w:r>
      <w:r w:rsidR="00D500CC">
        <w:t xml:space="preserve"> This board has announced a public meeting for July 24, 2014, beginning at 9:00 a.m. at Ocean Reef Club, Key Largo, Florida.</w:t>
      </w:r>
    </w:p>
    <w:p w:rsidR="004E142A" w:rsidRDefault="004E142A" w:rsidP="004E142A"/>
    <w:p w:rsidR="004E142A" w:rsidRDefault="004E142A" w:rsidP="0008109E">
      <w:pPr>
        <w:pStyle w:val="BlockText"/>
        <w:numPr>
          <w:ilvl w:val="0"/>
          <w:numId w:val="11"/>
        </w:numPr>
      </w:pPr>
      <w:r w:rsidRPr="00D42313">
        <w:rPr>
          <w:u w:val="single"/>
        </w:rPr>
        <w:t>Board of Professional Engineers</w:t>
      </w:r>
      <w:r>
        <w:t xml:space="preserve"> – Chapter 471, FS and 61G15 FAC: </w:t>
      </w:r>
    </w:p>
    <w:p w:rsidR="004E142A" w:rsidRDefault="004E142A" w:rsidP="004E142A">
      <w:pPr>
        <w:pStyle w:val="BlockText"/>
      </w:pPr>
    </w:p>
    <w:p w:rsidR="00003119" w:rsidRDefault="00E1125C" w:rsidP="0084009D">
      <w:pPr>
        <w:pStyle w:val="BlockText"/>
        <w:numPr>
          <w:ilvl w:val="1"/>
          <w:numId w:val="11"/>
        </w:numPr>
      </w:pPr>
      <w:r>
        <w:t xml:space="preserve">This board has </w:t>
      </w:r>
      <w:r w:rsidR="004204AE">
        <w:t>proposed</w:t>
      </w:r>
      <w:r>
        <w:t xml:space="preserve"> adopted, repealed or amended</w:t>
      </w:r>
      <w:r w:rsidR="004204AE">
        <w:t xml:space="preserve"> the following rules (if </w:t>
      </w:r>
      <w:r>
        <w:t>any)</w:t>
      </w:r>
      <w:r w:rsidR="00003119">
        <w:t>:</w:t>
      </w:r>
      <w:r w:rsidR="0084009D">
        <w:t xml:space="preserve"> None noticed.</w:t>
      </w:r>
    </w:p>
    <w:p w:rsidR="00691E1A" w:rsidRDefault="00691E1A" w:rsidP="00691E1A">
      <w:pPr>
        <w:pStyle w:val="BlockText"/>
        <w:ind w:left="1800"/>
      </w:pPr>
    </w:p>
    <w:p w:rsidR="002438D2" w:rsidRDefault="009E2A70" w:rsidP="001B1FFA">
      <w:pPr>
        <w:pStyle w:val="BlockText"/>
        <w:numPr>
          <w:ilvl w:val="1"/>
          <w:numId w:val="11"/>
        </w:numPr>
      </w:pPr>
      <w:r>
        <w:t xml:space="preserve">This board has received or disposed of the following Petitions for </w:t>
      </w:r>
      <w:r w:rsidR="00052694">
        <w:t>Declaratory Statement</w:t>
      </w:r>
      <w:r w:rsidR="00003119">
        <w:t xml:space="preserve"> (if any): </w:t>
      </w:r>
      <w:r w:rsidR="0084009D">
        <w:t>None noticed.</w:t>
      </w:r>
    </w:p>
    <w:p w:rsidR="0084009D" w:rsidRDefault="0084009D" w:rsidP="0084009D">
      <w:pPr>
        <w:pStyle w:val="BlockText"/>
      </w:pPr>
    </w:p>
    <w:p w:rsidR="0084009D" w:rsidRDefault="009E2A70" w:rsidP="00C90AA9">
      <w:pPr>
        <w:pStyle w:val="BlockText"/>
        <w:numPr>
          <w:ilvl w:val="1"/>
          <w:numId w:val="11"/>
        </w:numPr>
      </w:pPr>
      <w:r>
        <w:t>This board has received or disposed of the following Petitions for Va</w:t>
      </w:r>
      <w:r w:rsidR="00D500CC">
        <w:t>riance or Waiver:</w:t>
      </w:r>
    </w:p>
    <w:p w:rsidR="00D500CC" w:rsidRDefault="00D500CC" w:rsidP="00D500CC">
      <w:pPr>
        <w:pStyle w:val="ListParagraph"/>
      </w:pPr>
    </w:p>
    <w:p w:rsidR="00D500CC" w:rsidRDefault="00D500CC" w:rsidP="00D500CC">
      <w:pPr>
        <w:pStyle w:val="BlockText"/>
        <w:numPr>
          <w:ilvl w:val="2"/>
          <w:numId w:val="11"/>
        </w:numPr>
      </w:pPr>
      <w:r w:rsidRPr="00804A8E">
        <w:rPr>
          <w:b/>
        </w:rPr>
        <w:t>Ricardo De La Guardia</w:t>
      </w:r>
      <w:r>
        <w:t xml:space="preserve"> – Petition filed June 23, 2014, seeking a </w:t>
      </w:r>
      <w:r w:rsidR="00804A8E">
        <w:t>waiver</w:t>
      </w:r>
      <w:r>
        <w:t xml:space="preserve"> from Rule 61G15-21.007, with respect to the requirement that an applicant who fails three (3) times to pass the examination must submit transcripts for completion of 12 hours college credit hour in the area of deficiency.</w:t>
      </w:r>
    </w:p>
    <w:p w:rsidR="00804A8E" w:rsidRDefault="00804A8E" w:rsidP="00804A8E">
      <w:pPr>
        <w:pStyle w:val="BlockText"/>
        <w:ind w:left="2520"/>
      </w:pPr>
    </w:p>
    <w:p w:rsidR="00D500CC" w:rsidRDefault="00D500CC" w:rsidP="00D500CC">
      <w:pPr>
        <w:pStyle w:val="BlockText"/>
        <w:numPr>
          <w:ilvl w:val="2"/>
          <w:numId w:val="11"/>
        </w:numPr>
      </w:pPr>
      <w:r w:rsidRPr="00804A8E">
        <w:rPr>
          <w:b/>
        </w:rPr>
        <w:t>Allen Gezelman, P. E.</w:t>
      </w:r>
      <w:r>
        <w:t xml:space="preserve"> – Petition filed June 3, 2014, seeking </w:t>
      </w:r>
      <w:r w:rsidR="00804A8E">
        <w:t>a waiver from Ruled 61G15-23.002, with respect to the requirement that a professional engineer shall sign by hand all final drawings, specifications, plans, reports or documents.</w:t>
      </w:r>
    </w:p>
    <w:p w:rsidR="004E142A" w:rsidRDefault="004E142A" w:rsidP="0084009D">
      <w:pPr>
        <w:pStyle w:val="BlockText"/>
      </w:pPr>
      <w:r>
        <w:tab/>
      </w:r>
    </w:p>
    <w:p w:rsidR="004E142A" w:rsidRDefault="004E142A" w:rsidP="0008109E">
      <w:pPr>
        <w:pStyle w:val="BlockText"/>
        <w:numPr>
          <w:ilvl w:val="0"/>
          <w:numId w:val="11"/>
        </w:numPr>
      </w:pPr>
      <w:r w:rsidRPr="009A1012">
        <w:rPr>
          <w:u w:val="single"/>
        </w:rPr>
        <w:t>Building Code Administrators and Inspectors</w:t>
      </w:r>
      <w:r>
        <w:t xml:space="preserve"> Board – Chapter 468, Part XII and 61G19 FAC: </w:t>
      </w:r>
    </w:p>
    <w:p w:rsidR="004E142A" w:rsidRDefault="004E142A" w:rsidP="004E142A">
      <w:pPr>
        <w:pStyle w:val="BlockText"/>
        <w:ind w:left="1440"/>
      </w:pPr>
    </w:p>
    <w:p w:rsidR="004E142A" w:rsidRDefault="00E1125C" w:rsidP="0008109E">
      <w:pPr>
        <w:pStyle w:val="BlockText"/>
        <w:numPr>
          <w:ilvl w:val="1"/>
          <w:numId w:val="11"/>
        </w:numPr>
      </w:pPr>
      <w:r>
        <w:t>This board has proposed, adopted, repealed or amended the following rules (if any):</w:t>
      </w:r>
      <w:r w:rsidR="00071707">
        <w:t xml:space="preserve"> None noticed.</w:t>
      </w:r>
    </w:p>
    <w:p w:rsidR="004E142A" w:rsidRDefault="004E142A" w:rsidP="004E142A">
      <w:pPr>
        <w:pStyle w:val="BlockText"/>
      </w:pPr>
    </w:p>
    <w:p w:rsidR="004E2A5D" w:rsidRDefault="004E142A" w:rsidP="002D366C">
      <w:pPr>
        <w:pStyle w:val="BlockText"/>
        <w:numPr>
          <w:ilvl w:val="1"/>
          <w:numId w:val="11"/>
        </w:numPr>
      </w:pPr>
      <w:r>
        <w:t>This board has received or disposed of the following Petitions for Declaratory Statement (if any</w:t>
      </w:r>
      <w:r w:rsidR="004E2A5D">
        <w:t>): None noticed.</w:t>
      </w:r>
    </w:p>
    <w:p w:rsidR="0084009D" w:rsidRDefault="0084009D" w:rsidP="0084009D">
      <w:pPr>
        <w:pStyle w:val="BlockText"/>
      </w:pPr>
    </w:p>
    <w:p w:rsidR="004E142A" w:rsidRDefault="004E142A" w:rsidP="0008109E">
      <w:pPr>
        <w:pStyle w:val="BlockText"/>
        <w:numPr>
          <w:ilvl w:val="1"/>
          <w:numId w:val="11"/>
        </w:numPr>
      </w:pPr>
      <w:r>
        <w:t xml:space="preserve">This board has received or disposed of the following Petitions for Variance or Waiver (if any): </w:t>
      </w:r>
      <w:r w:rsidR="004204AE">
        <w:t>None</w:t>
      </w:r>
      <w:r w:rsidR="00920535">
        <w:t xml:space="preserve"> noticed</w:t>
      </w:r>
      <w:r w:rsidR="004204AE">
        <w:t>.</w:t>
      </w:r>
    </w:p>
    <w:p w:rsidR="004E142A" w:rsidRPr="003134D3" w:rsidRDefault="004E142A" w:rsidP="004E142A">
      <w:pPr>
        <w:pStyle w:val="BlockText"/>
      </w:pPr>
    </w:p>
    <w:p w:rsidR="00F73B56" w:rsidRDefault="004E142A" w:rsidP="0008109E">
      <w:pPr>
        <w:pStyle w:val="BlockText"/>
        <w:numPr>
          <w:ilvl w:val="0"/>
          <w:numId w:val="11"/>
        </w:numPr>
      </w:pPr>
      <w:r w:rsidRPr="00A82F6F">
        <w:rPr>
          <w:u w:val="single"/>
        </w:rPr>
        <w:t>Florida Building Commission</w:t>
      </w:r>
      <w:r>
        <w:rPr>
          <w:rStyle w:val="FootnoteReference"/>
          <w:u w:val="single"/>
        </w:rPr>
        <w:footnoteReference w:id="1"/>
      </w:r>
      <w:r>
        <w:t xml:space="preserve"> – Chapter 553, Part IV and Chapter 61G20, FAC): </w:t>
      </w:r>
    </w:p>
    <w:p w:rsidR="00F73B56" w:rsidRDefault="00F73B56" w:rsidP="00F73B56">
      <w:pPr>
        <w:pStyle w:val="BlockText"/>
        <w:ind w:left="720"/>
        <w:rPr>
          <w:u w:val="single"/>
        </w:rPr>
      </w:pPr>
    </w:p>
    <w:p w:rsidR="00F73B56" w:rsidRPr="00571120" w:rsidRDefault="00F73B56" w:rsidP="00F73B56">
      <w:pPr>
        <w:pStyle w:val="BlockText"/>
        <w:rPr>
          <w:b/>
        </w:rPr>
      </w:pPr>
      <w:r>
        <w:rPr>
          <w:b/>
          <w:u w:val="single"/>
        </w:rPr>
        <w:t xml:space="preserve">CODE </w:t>
      </w:r>
      <w:r w:rsidRPr="00D255AC">
        <w:rPr>
          <w:b/>
          <w:u w:val="single"/>
        </w:rPr>
        <w:t>NOTE</w:t>
      </w:r>
      <w:r w:rsidRPr="00D255AC">
        <w:rPr>
          <w:b/>
        </w:rPr>
        <w:t xml:space="preserve">: </w:t>
      </w:r>
      <w:r w:rsidRPr="00571120">
        <w:rPr>
          <w:b/>
        </w:rPr>
        <w:t xml:space="preserve">Due to a delay in adoption of the latest NFPA fire codes, the effective date of the next Florida Building has been postponed until </w:t>
      </w:r>
      <w:r>
        <w:rPr>
          <w:b/>
        </w:rPr>
        <w:t>December 31, 201</w:t>
      </w:r>
      <w:r w:rsidRPr="00571120">
        <w:rPr>
          <w:b/>
          <w:i/>
          <w:u w:val="single"/>
        </w:rPr>
        <w:t>4</w:t>
      </w:r>
      <w:r>
        <w:rPr>
          <w:b/>
          <w:i/>
          <w:u w:val="single"/>
        </w:rPr>
        <w:t xml:space="preserve"> </w:t>
      </w:r>
      <w:r>
        <w:rPr>
          <w:b/>
        </w:rPr>
        <w:t>and will be entitled "Florida Building Code 5</w:t>
      </w:r>
      <w:r w:rsidRPr="00571120">
        <w:rPr>
          <w:b/>
          <w:vertAlign w:val="superscript"/>
        </w:rPr>
        <w:t>th</w:t>
      </w:r>
      <w:r>
        <w:rPr>
          <w:b/>
        </w:rPr>
        <w:t xml:space="preserve"> Edition (2014)."</w:t>
      </w:r>
    </w:p>
    <w:p w:rsidR="00F73B56" w:rsidRDefault="00F73B56" w:rsidP="00F73B56">
      <w:pPr>
        <w:pStyle w:val="BlockText"/>
      </w:pPr>
    </w:p>
    <w:p w:rsidR="00941C32" w:rsidRPr="00F73B56" w:rsidRDefault="00071707" w:rsidP="00F73B56">
      <w:pPr>
        <w:pStyle w:val="BlockText"/>
      </w:pPr>
      <w:r w:rsidRPr="00071707">
        <w:rPr>
          <w:b/>
        </w:rPr>
        <w:t>The FBC has published a notice that it has determined the posting of incorporated materials on the internet would viola</w:t>
      </w:r>
      <w:r>
        <w:rPr>
          <w:b/>
        </w:rPr>
        <w:t xml:space="preserve">te federal copyright laws, and </w:t>
      </w:r>
      <w:r w:rsidRPr="00071707">
        <w:rPr>
          <w:b/>
        </w:rPr>
        <w:t>that such materials are available for public inspection and examination at the Department of State, Room 101, R. A. Gray Building, 500 South Bronough Street, or at the Office of Codes and Standards, 1940 North Monroe Street, Room 90, Tallahassee, Florida.</w:t>
      </w:r>
    </w:p>
    <w:p w:rsidR="00920535" w:rsidRDefault="00920535" w:rsidP="00920535">
      <w:pPr>
        <w:pStyle w:val="BlockText"/>
        <w:ind w:left="1080"/>
      </w:pPr>
    </w:p>
    <w:p w:rsidR="00691E1A" w:rsidRDefault="00E1125C" w:rsidP="0008109E">
      <w:pPr>
        <w:pStyle w:val="BlockText"/>
        <w:numPr>
          <w:ilvl w:val="1"/>
          <w:numId w:val="11"/>
        </w:numPr>
      </w:pPr>
      <w:r>
        <w:t>This board has proposed, adopted, repealed or amended the following rules (if any):</w:t>
      </w:r>
      <w:r w:rsidR="0084009D">
        <w:t xml:space="preserve"> </w:t>
      </w:r>
    </w:p>
    <w:p w:rsidR="00C60ABB" w:rsidRDefault="00C60ABB" w:rsidP="00C60ABB">
      <w:pPr>
        <w:pStyle w:val="BlockText"/>
        <w:ind w:left="1800"/>
      </w:pPr>
    </w:p>
    <w:p w:rsidR="00571120" w:rsidRPr="00C60ABB" w:rsidRDefault="00E1125C" w:rsidP="00C60ABB">
      <w:pPr>
        <w:pStyle w:val="BlockText"/>
        <w:numPr>
          <w:ilvl w:val="1"/>
          <w:numId w:val="11"/>
        </w:numPr>
      </w:pPr>
      <w:r>
        <w:t xml:space="preserve">This board has received or disposed of the following Petitions for </w:t>
      </w:r>
      <w:r w:rsidR="003747B5">
        <w:t xml:space="preserve">Declaratory Statement: </w:t>
      </w:r>
    </w:p>
    <w:p w:rsidR="00217EBB" w:rsidRPr="00F73B56" w:rsidRDefault="00217EBB" w:rsidP="00217EBB">
      <w:pPr>
        <w:pStyle w:val="BlockText"/>
        <w:ind w:left="2520"/>
        <w:rPr>
          <w:b/>
        </w:rPr>
      </w:pPr>
    </w:p>
    <w:p w:rsidR="00F73B56" w:rsidRPr="00217EBB" w:rsidRDefault="00C60ABB" w:rsidP="0008109E">
      <w:pPr>
        <w:pStyle w:val="BlockText"/>
        <w:numPr>
          <w:ilvl w:val="2"/>
          <w:numId w:val="11"/>
        </w:numPr>
        <w:rPr>
          <w:b/>
        </w:rPr>
      </w:pPr>
      <w:r>
        <w:rPr>
          <w:b/>
        </w:rPr>
        <w:t>City of Oviedo/Donald Fuchs, Jr., DS 2014-042</w:t>
      </w:r>
      <w:r w:rsidR="00217EBB">
        <w:rPr>
          <w:b/>
        </w:rPr>
        <w:t xml:space="preserve"> </w:t>
      </w:r>
      <w:r w:rsidR="00217EBB">
        <w:t>seeking clarification of whether a townhouse unit with zero lot lines much each have separate utilities.</w:t>
      </w:r>
    </w:p>
    <w:p w:rsidR="00217EBB" w:rsidRDefault="00217EBB" w:rsidP="00217EBB">
      <w:pPr>
        <w:pStyle w:val="BlockText"/>
        <w:rPr>
          <w:b/>
        </w:rPr>
      </w:pPr>
    </w:p>
    <w:p w:rsidR="00217EBB" w:rsidRDefault="00C60ABB" w:rsidP="00217EBB">
      <w:pPr>
        <w:pStyle w:val="BlockText"/>
        <w:numPr>
          <w:ilvl w:val="2"/>
          <w:numId w:val="11"/>
        </w:numPr>
        <w:rPr>
          <w:b/>
        </w:rPr>
      </w:pPr>
      <w:r>
        <w:rPr>
          <w:b/>
        </w:rPr>
        <w:t>Karins Engineering Group, Inc., DS 2014-057</w:t>
      </w:r>
      <w:r w:rsidR="00F73B56">
        <w:rPr>
          <w:b/>
        </w:rPr>
        <w:t xml:space="preserve"> –</w:t>
      </w:r>
      <w:r w:rsidR="00217EBB">
        <w:rPr>
          <w:b/>
        </w:rPr>
        <w:t xml:space="preserve"> </w:t>
      </w:r>
      <w:r w:rsidR="00217EBB">
        <w:t>seeking clarification regarding repairs/modifications of foundations seaward of the Coastal Construction Control Line.</w:t>
      </w:r>
    </w:p>
    <w:p w:rsidR="00C60ABB" w:rsidRPr="00C60ABB" w:rsidRDefault="00C60ABB" w:rsidP="00C60ABB">
      <w:pPr>
        <w:pStyle w:val="BlockText"/>
        <w:rPr>
          <w:b/>
        </w:rPr>
      </w:pPr>
    </w:p>
    <w:p w:rsidR="00F73B56" w:rsidRPr="00C60ABB" w:rsidRDefault="00C60ABB" w:rsidP="00C60ABB">
      <w:pPr>
        <w:pStyle w:val="BlockText"/>
        <w:numPr>
          <w:ilvl w:val="2"/>
          <w:numId w:val="11"/>
        </w:numPr>
        <w:rPr>
          <w:b/>
        </w:rPr>
      </w:pPr>
      <w:r>
        <w:rPr>
          <w:b/>
        </w:rPr>
        <w:t>Barry A. Schneer, DS 2014-043</w:t>
      </w:r>
      <w:r w:rsidR="00F73B56" w:rsidRPr="00C60ABB">
        <w:rPr>
          <w:b/>
        </w:rPr>
        <w:t xml:space="preserve"> – </w:t>
      </w:r>
      <w:r w:rsidR="00217EBB">
        <w:t>seeking an opinion of the board of whether Section 105 creates a “rebuttable presumption” for a homeowner to demonstrate that unpermitted work satisfices the building code.</w:t>
      </w:r>
    </w:p>
    <w:p w:rsidR="00C60ABB" w:rsidRDefault="00C60ABB" w:rsidP="00C60ABB">
      <w:pPr>
        <w:pStyle w:val="ListParagraph"/>
        <w:rPr>
          <w:b/>
        </w:rPr>
      </w:pPr>
    </w:p>
    <w:p w:rsidR="00C60ABB" w:rsidRPr="00312FA2" w:rsidRDefault="00317330" w:rsidP="00C60ABB">
      <w:pPr>
        <w:pStyle w:val="BlockText"/>
        <w:numPr>
          <w:ilvl w:val="2"/>
          <w:numId w:val="11"/>
        </w:numPr>
        <w:rPr>
          <w:b/>
        </w:rPr>
      </w:pPr>
      <w:r>
        <w:rPr>
          <w:b/>
        </w:rPr>
        <w:t>Chester Darby, DS 2014-061</w:t>
      </w:r>
      <w:r w:rsidRPr="003B59EA">
        <w:t xml:space="preserve"> (not yet reviewed</w:t>
      </w:r>
      <w:r w:rsidR="003B59EA" w:rsidRPr="003B59EA">
        <w:t>).</w:t>
      </w:r>
    </w:p>
    <w:p w:rsidR="00312FA2" w:rsidRDefault="00312FA2" w:rsidP="00312FA2">
      <w:pPr>
        <w:pStyle w:val="ListParagraph"/>
        <w:rPr>
          <w:b/>
        </w:rPr>
      </w:pPr>
    </w:p>
    <w:p w:rsidR="00312FA2" w:rsidRPr="00C60ABB" w:rsidRDefault="003B59EA" w:rsidP="00C60ABB">
      <w:pPr>
        <w:pStyle w:val="BlockText"/>
        <w:numPr>
          <w:ilvl w:val="2"/>
          <w:numId w:val="11"/>
        </w:numPr>
        <w:rPr>
          <w:b/>
        </w:rPr>
      </w:pPr>
      <w:r>
        <w:rPr>
          <w:b/>
        </w:rPr>
        <w:t xml:space="preserve">Rich Clark, CLP Systems, DS 2014-052 </w:t>
      </w:r>
      <w:r>
        <w:t>(not yet reviewed).</w:t>
      </w:r>
    </w:p>
    <w:p w:rsidR="00217EBB" w:rsidRPr="00F73B56" w:rsidRDefault="00217EBB" w:rsidP="00C60ABB">
      <w:pPr>
        <w:pStyle w:val="BlockText"/>
        <w:rPr>
          <w:b/>
        </w:rPr>
      </w:pPr>
    </w:p>
    <w:p w:rsidR="000340FB" w:rsidRDefault="00941C32" w:rsidP="0017187B">
      <w:pPr>
        <w:pStyle w:val="BlockText"/>
        <w:ind w:firstLine="720"/>
      </w:pPr>
      <w:r>
        <w:t xml:space="preserve">8. </w:t>
      </w:r>
      <w:r w:rsidRPr="00941C32">
        <w:rPr>
          <w:u w:val="single"/>
        </w:rPr>
        <w:t>DBPR/Home Inspectors:</w:t>
      </w:r>
      <w:r>
        <w:t xml:space="preserve"> </w:t>
      </w:r>
      <w:r w:rsidR="002438D2">
        <w:t xml:space="preserve">The agency has published notice of </w:t>
      </w:r>
      <w:r w:rsidR="00B40FA6">
        <w:t>rulemaking</w:t>
      </w:r>
      <w:r w:rsidR="002438D2">
        <w:t xml:space="preserve"> pursuant to Chapter 61-31, Sections .101-.702 F. A. C., regarding licensing of mold related services.</w:t>
      </w:r>
      <w:r w:rsidR="009D71A1">
        <w:t xml:space="preserve"> Nothing new to report.</w:t>
      </w:r>
    </w:p>
    <w:p w:rsidR="004E2A5D" w:rsidRDefault="004E2A5D" w:rsidP="004E2A5D">
      <w:pPr>
        <w:pStyle w:val="BlockText"/>
      </w:pPr>
    </w:p>
    <w:p w:rsidR="000340FB" w:rsidRDefault="000340FB" w:rsidP="00941C32">
      <w:pPr>
        <w:pStyle w:val="BlockText"/>
        <w:ind w:left="720"/>
      </w:pPr>
      <w:r>
        <w:t xml:space="preserve">9. </w:t>
      </w:r>
      <w:r w:rsidRPr="000340FB">
        <w:rPr>
          <w:u w:val="single"/>
        </w:rPr>
        <w:t>Board of Professional Geologists:</w:t>
      </w:r>
      <w:r>
        <w:t xml:space="preserve"> Chapter 492, Florida Statutes, and Rule Chapter 61G16, F.A.C.</w:t>
      </w:r>
      <w:r w:rsidR="00F054FC">
        <w:t xml:space="preserve">: Nothing </w:t>
      </w:r>
      <w:r w:rsidR="003B59EA">
        <w:t xml:space="preserve">new </w:t>
      </w:r>
      <w:r w:rsidR="00F054FC">
        <w:t>to report.</w:t>
      </w:r>
    </w:p>
    <w:p w:rsidR="00436BA2" w:rsidRDefault="00436BA2" w:rsidP="00941C32">
      <w:pPr>
        <w:pStyle w:val="BlockText"/>
        <w:ind w:left="720"/>
      </w:pPr>
    </w:p>
    <w:p w:rsidR="004E142A" w:rsidRDefault="00436BA2" w:rsidP="004E142A">
      <w:pPr>
        <w:pStyle w:val="BlockText"/>
        <w:ind w:left="1080"/>
        <w:rPr>
          <w:rStyle w:val="text"/>
          <w:rFonts w:ascii="Verdana" w:hAnsi="Verdana"/>
          <w:color w:val="000080"/>
          <w:sz w:val="20"/>
          <w:szCs w:val="20"/>
        </w:rPr>
      </w:pPr>
      <w:r>
        <w:rPr>
          <w:rStyle w:val="text"/>
          <w:rFonts w:ascii="Verdana" w:hAnsi="Verdana"/>
          <w:color w:val="000080"/>
          <w:sz w:val="20"/>
          <w:szCs w:val="20"/>
        </w:rPr>
        <w:t>“Geology” means the science which includes the treatment of the earth and its origin and history, in general; the investigation of the earth’s crust and interior and the solids and fluids, including all surface and underground waters, and gases which compose the earth; the study of the natural agents, forces, and processes which cause changes in the earth; and the utilization of this knowledge of the earth and its solids, fluids, and gases, and their collective properties and processes, for the benefit of humankind.</w:t>
      </w:r>
    </w:p>
    <w:p w:rsidR="0094577A" w:rsidRDefault="0094577A" w:rsidP="0094577A">
      <w:pPr>
        <w:pStyle w:val="BlockText"/>
      </w:pPr>
    </w:p>
    <w:p w:rsidR="004B10A3" w:rsidRDefault="0094577A" w:rsidP="00781A63">
      <w:pPr>
        <w:pStyle w:val="BlockText"/>
        <w:ind w:left="720"/>
      </w:pPr>
      <w:r>
        <w:t>10</w:t>
      </w:r>
      <w:r w:rsidRPr="00427E2F">
        <w:rPr>
          <w:u w:val="single"/>
        </w:rPr>
        <w:t>. Division of Hotels and Restaurants: Elevator Safety</w:t>
      </w:r>
      <w:r>
        <w:t xml:space="preserve"> - Chapter 399, Florida Statutes</w:t>
      </w:r>
      <w:r w:rsidR="00E64091">
        <w:t xml:space="preserve"> (which excludes private residential elevators)</w:t>
      </w:r>
      <w:r>
        <w:t xml:space="preserve">, and Chapter </w:t>
      </w:r>
      <w:r w:rsidR="00427E2F">
        <w:t>61C-5, F.A.C.</w:t>
      </w:r>
      <w:r w:rsidR="004E2A5D">
        <w:t xml:space="preserve"> Nothing </w:t>
      </w:r>
      <w:r w:rsidR="003B59EA">
        <w:t xml:space="preserve">new </w:t>
      </w:r>
      <w:r w:rsidR="004E2A5D">
        <w:t>to report.</w:t>
      </w:r>
    </w:p>
    <w:p w:rsidR="00317330" w:rsidRDefault="00317330" w:rsidP="00781A63">
      <w:pPr>
        <w:pStyle w:val="BlockText"/>
        <w:ind w:left="720"/>
      </w:pPr>
    </w:p>
    <w:p w:rsidR="00427E2F" w:rsidRDefault="004B10A3" w:rsidP="00876A95">
      <w:pPr>
        <w:pStyle w:val="BlockText"/>
        <w:ind w:left="810" w:hanging="90"/>
      </w:pPr>
      <w:r>
        <w:t xml:space="preserve">11. </w:t>
      </w:r>
      <w:r w:rsidRPr="00C906E0">
        <w:rPr>
          <w:u w:val="single"/>
        </w:rPr>
        <w:t>Asbestos Consultants</w:t>
      </w:r>
      <w:r>
        <w:t xml:space="preserve"> – Chapter </w:t>
      </w:r>
      <w:r w:rsidR="00C906E0">
        <w:t>469</w:t>
      </w:r>
      <w:r>
        <w:t>, Florida Statutes, and Chapter</w:t>
      </w:r>
      <w:r w:rsidR="009D71A1">
        <w:t xml:space="preserve"> 61</w:t>
      </w:r>
      <w:r w:rsidR="00C60ABB">
        <w:t>E1, F.A.C.:  Nothing new to report.</w:t>
      </w:r>
    </w:p>
    <w:p w:rsidR="007D12C5" w:rsidRPr="0094577A" w:rsidRDefault="007D12C5" w:rsidP="00876A95">
      <w:pPr>
        <w:pStyle w:val="BlockText"/>
        <w:ind w:left="810" w:hanging="90"/>
      </w:pPr>
    </w:p>
    <w:p w:rsidR="004E142A" w:rsidRDefault="00DE52F2" w:rsidP="00DE52F2">
      <w:pPr>
        <w:pStyle w:val="BlockText"/>
        <w:rPr>
          <w:b/>
        </w:rPr>
      </w:pPr>
      <w:r>
        <w:rPr>
          <w:b/>
        </w:rPr>
        <w:t xml:space="preserve">B. Department of </w:t>
      </w:r>
      <w:r w:rsidR="004E142A" w:rsidRPr="0094577A">
        <w:rPr>
          <w:b/>
        </w:rPr>
        <w:t>Environmental Protection</w:t>
      </w:r>
      <w:r>
        <w:rPr>
          <w:b/>
        </w:rPr>
        <w:t xml:space="preserve">: </w:t>
      </w:r>
    </w:p>
    <w:p w:rsidR="00DE52F2" w:rsidRDefault="00DE52F2" w:rsidP="00DE52F2">
      <w:pPr>
        <w:pStyle w:val="BlockText"/>
        <w:rPr>
          <w:b/>
        </w:rPr>
      </w:pPr>
    </w:p>
    <w:p w:rsidR="00DE52F2" w:rsidRDefault="00DE52F2" w:rsidP="00E64091">
      <w:pPr>
        <w:pStyle w:val="BlockText"/>
        <w:ind w:left="720"/>
      </w:pPr>
      <w:r>
        <w:t>1. Water Well Contractors: Chapter 373, Par</w:t>
      </w:r>
      <w:r w:rsidR="00E64091">
        <w:t xml:space="preserve">t II (licensing and regulation): </w:t>
      </w:r>
      <w:r w:rsidR="00317330">
        <w:t>Nothing new to report.</w:t>
      </w:r>
    </w:p>
    <w:p w:rsidR="00DE52F2" w:rsidRDefault="00DE52F2" w:rsidP="00DE52F2">
      <w:pPr>
        <w:pStyle w:val="BlockText"/>
      </w:pPr>
    </w:p>
    <w:p w:rsidR="00DE52F2" w:rsidRPr="00DE52F2" w:rsidRDefault="00DE52F2" w:rsidP="00DE52F2">
      <w:pPr>
        <w:pStyle w:val="BlockText"/>
      </w:pPr>
      <w:r>
        <w:tab/>
        <w:t xml:space="preserve">2. Consumptive Use Permits: </w:t>
      </w:r>
      <w:r w:rsidR="00E64091">
        <w:t>Chapter 373, Part II: Not</w:t>
      </w:r>
      <w:r w:rsidR="007D12C5">
        <w:t>h</w:t>
      </w:r>
      <w:r w:rsidR="00E64091">
        <w:t xml:space="preserve">ing </w:t>
      </w:r>
      <w:r w:rsidR="00317330">
        <w:t xml:space="preserve">new </w:t>
      </w:r>
      <w:r w:rsidR="00E64091">
        <w:t>to report.</w:t>
      </w:r>
    </w:p>
    <w:p w:rsidR="004E142A" w:rsidRPr="002E2A6D" w:rsidRDefault="004E142A" w:rsidP="004E142A">
      <w:pPr>
        <w:pStyle w:val="BlockText"/>
        <w:ind w:left="720"/>
      </w:pPr>
    </w:p>
    <w:p w:rsidR="004E142A" w:rsidRDefault="00DE52F2" w:rsidP="00CA5EE6">
      <w:pPr>
        <w:pStyle w:val="BlockText"/>
      </w:pPr>
      <w:r>
        <w:rPr>
          <w:b/>
        </w:rPr>
        <w:t xml:space="preserve">C. Department of </w:t>
      </w:r>
      <w:r w:rsidR="004E142A" w:rsidRPr="006577D7">
        <w:rPr>
          <w:b/>
        </w:rPr>
        <w:t>Health</w:t>
      </w:r>
      <w:r w:rsidR="004E142A">
        <w:t xml:space="preserve">: </w:t>
      </w:r>
      <w:r w:rsidR="004E142A" w:rsidRPr="00922A6D">
        <w:rPr>
          <w:b/>
        </w:rPr>
        <w:t xml:space="preserve">Water Quality/Septic Tanks – Chapter 381 and 64E FAC: </w:t>
      </w:r>
      <w:r w:rsidR="004E142A">
        <w:rPr>
          <w:b/>
        </w:rPr>
        <w:t xml:space="preserve">Chapter 2012-184, Laws of Florida, </w:t>
      </w:r>
      <w:r w:rsidR="004E142A" w:rsidRPr="000B0E17">
        <w:rPr>
          <w:b/>
          <w:u w:val="single"/>
        </w:rPr>
        <w:t>effective April 27, 2012</w:t>
      </w:r>
      <w:r w:rsidR="004E142A">
        <w:rPr>
          <w:b/>
        </w:rPr>
        <w:t>, mad</w:t>
      </w:r>
      <w:r w:rsidR="004E142A" w:rsidRPr="00922A6D">
        <w:rPr>
          <w:b/>
        </w:rPr>
        <w:t>e</w:t>
      </w:r>
      <w:r w:rsidR="004E142A">
        <w:rPr>
          <w:b/>
        </w:rPr>
        <w:t xml:space="preserve"> the fol</w:t>
      </w:r>
      <w:r w:rsidR="00CA5EE6">
        <w:rPr>
          <w:b/>
        </w:rPr>
        <w:t xml:space="preserve">lowing changes: </w:t>
      </w:r>
      <w:r w:rsidR="004E142A">
        <w:t>Section 381.0065(5), requiring periodic inspections of on-site sewerage disposal systems (“septic tanks”) has been repealed, and authority to impose such requirements was authorized for local governments whose boundaries include a “first magnitude spring,” as defined in the bill. None of these 19 local jurisdiction</w:t>
      </w:r>
      <w:r w:rsidR="00436BA2">
        <w:t>s</w:t>
      </w:r>
      <w:r w:rsidR="004E142A">
        <w:t xml:space="preserve"> have opted to implement such a program at this time.</w:t>
      </w:r>
    </w:p>
    <w:p w:rsidR="00CA5EE6" w:rsidRDefault="00CA5EE6" w:rsidP="00CA5EE6">
      <w:pPr>
        <w:pStyle w:val="BlockText"/>
      </w:pPr>
    </w:p>
    <w:p w:rsidR="00CA5EE6" w:rsidRDefault="00CA5EE6" w:rsidP="00CA5EE6">
      <w:pPr>
        <w:pStyle w:val="BlockText"/>
      </w:pPr>
      <w:r w:rsidRPr="007D12C5">
        <w:rPr>
          <w:u w:val="single"/>
        </w:rPr>
        <w:t>HOWEVER,</w:t>
      </w:r>
      <w:r>
        <w:t xml:space="preserve"> the 2012 repeal of the Department of Health’s authority for plan review and approval of swimming pools and bathing pools appears to have been REINSTATED effective July 1, 2014 by House Bill 7147</w:t>
      </w:r>
      <w:r w:rsidR="007D12C5">
        <w:t xml:space="preserve"> (described below)</w:t>
      </w:r>
      <w:r>
        <w:t>.</w:t>
      </w:r>
    </w:p>
    <w:p w:rsidR="00CA5EE6" w:rsidRDefault="00CA5EE6" w:rsidP="00CA5EE6">
      <w:pPr>
        <w:pStyle w:val="BlockText"/>
      </w:pPr>
    </w:p>
    <w:p w:rsidR="00CA5EE6" w:rsidRDefault="00CA5EE6" w:rsidP="0008109E">
      <w:pPr>
        <w:pStyle w:val="BlockText"/>
        <w:numPr>
          <w:ilvl w:val="0"/>
          <w:numId w:val="15"/>
        </w:numPr>
      </w:pPr>
      <w:r>
        <w:t>Division of Environmental Health:</w:t>
      </w:r>
    </w:p>
    <w:p w:rsidR="00CA5EE6" w:rsidRDefault="00CA5EE6" w:rsidP="00CA5EE6">
      <w:pPr>
        <w:pStyle w:val="BlockText"/>
        <w:ind w:left="1080"/>
      </w:pPr>
    </w:p>
    <w:p w:rsidR="00CA5EE6" w:rsidRDefault="00CA5EE6" w:rsidP="0008109E">
      <w:pPr>
        <w:pStyle w:val="BlockText"/>
        <w:numPr>
          <w:ilvl w:val="1"/>
          <w:numId w:val="15"/>
        </w:numPr>
      </w:pPr>
      <w:r>
        <w:t>The following rules have been proposed for creation or amendments</w:t>
      </w:r>
      <w:r w:rsidR="003B59EA">
        <w:t>: None noticed.</w:t>
      </w:r>
    </w:p>
    <w:p w:rsidR="00CA5EE6" w:rsidRDefault="00CA5EE6" w:rsidP="00CA5EE6">
      <w:pPr>
        <w:pStyle w:val="BlockText"/>
        <w:ind w:left="1800"/>
      </w:pPr>
    </w:p>
    <w:p w:rsidR="00CA5EE6" w:rsidRDefault="00CA5EE6" w:rsidP="0008109E">
      <w:pPr>
        <w:pStyle w:val="BlockText"/>
        <w:numPr>
          <w:ilvl w:val="1"/>
          <w:numId w:val="15"/>
        </w:numPr>
      </w:pPr>
      <w:r>
        <w:t>The following Petitions for Variance or Wavier have been received or disposed of:</w:t>
      </w:r>
    </w:p>
    <w:p w:rsidR="0091203A" w:rsidRDefault="0091203A" w:rsidP="0091203A">
      <w:pPr>
        <w:pStyle w:val="BlockText"/>
      </w:pPr>
    </w:p>
    <w:p w:rsidR="0091203A" w:rsidRDefault="003B59EA" w:rsidP="0008109E">
      <w:pPr>
        <w:pStyle w:val="BlockText"/>
        <w:numPr>
          <w:ilvl w:val="2"/>
          <w:numId w:val="15"/>
        </w:numPr>
      </w:pPr>
      <w:r>
        <w:rPr>
          <w:b/>
        </w:rPr>
        <w:t>Kelly Roberts on behalf of Stericycle, Inc.</w:t>
      </w:r>
      <w:r w:rsidR="0091203A">
        <w:rPr>
          <w:b/>
        </w:rPr>
        <w:t xml:space="preserve"> –</w:t>
      </w:r>
      <w:r>
        <w:t xml:space="preserve"> petition received on May 28</w:t>
      </w:r>
      <w:r w:rsidR="0091203A">
        <w:t>, 2014, regarding Rule 64E-</w:t>
      </w:r>
      <w:r>
        <w:t>1</w:t>
      </w:r>
      <w:r w:rsidR="0091203A">
        <w:t>6,00</w:t>
      </w:r>
      <w:r>
        <w:t>4(2</w:t>
      </w:r>
      <w:r w:rsidR="00DA43F1">
        <w:t>) (</w:t>
      </w:r>
      <w:r>
        <w:t>d</w:t>
      </w:r>
      <w:r w:rsidR="00DA43F1">
        <w:t>) 3</w:t>
      </w:r>
      <w:r>
        <w:t xml:space="preserve"> proscribing the use of sharps containers. </w:t>
      </w:r>
      <w:r w:rsidR="0091203A">
        <w:t xml:space="preserve"> </w:t>
      </w:r>
    </w:p>
    <w:p w:rsidR="0091203A" w:rsidRPr="0091203A" w:rsidRDefault="0091203A" w:rsidP="0091203A">
      <w:pPr>
        <w:pStyle w:val="BlockText"/>
        <w:ind w:left="2340"/>
      </w:pPr>
    </w:p>
    <w:p w:rsidR="003B59EA" w:rsidRDefault="003B59EA" w:rsidP="00257D99">
      <w:pPr>
        <w:pStyle w:val="BlockText"/>
        <w:numPr>
          <w:ilvl w:val="2"/>
          <w:numId w:val="15"/>
        </w:numPr>
      </w:pPr>
      <w:r w:rsidRPr="003B59EA">
        <w:rPr>
          <w:b/>
        </w:rPr>
        <w:t>WET Engineering, for U. S. Float Tanks</w:t>
      </w:r>
      <w:r w:rsidR="00103A3B" w:rsidRPr="003B59EA">
        <w:rPr>
          <w:b/>
        </w:rPr>
        <w:t xml:space="preserve"> –</w:t>
      </w:r>
      <w:r w:rsidR="0091203A" w:rsidRPr="003B59EA">
        <w:rPr>
          <w:b/>
        </w:rPr>
        <w:t xml:space="preserve"> </w:t>
      </w:r>
      <w:r w:rsidR="0091203A">
        <w:t xml:space="preserve">petition received on </w:t>
      </w:r>
      <w:r>
        <w:t>May 30</w:t>
      </w:r>
      <w:r w:rsidR="0091203A">
        <w:t xml:space="preserve">, 2014, regarding </w:t>
      </w:r>
      <w:r>
        <w:t>Rule 6</w:t>
      </w:r>
      <w:r w:rsidR="00DD6729">
        <w:t>4</w:t>
      </w:r>
      <w:r>
        <w:t>E-9 regarding public swimming pools.</w:t>
      </w:r>
    </w:p>
    <w:p w:rsidR="00DD6729" w:rsidRDefault="00DD6729" w:rsidP="00DD6729">
      <w:pPr>
        <w:pStyle w:val="ListParagraph"/>
      </w:pPr>
    </w:p>
    <w:p w:rsidR="00DD6729" w:rsidRDefault="00DD6729" w:rsidP="00257D99">
      <w:pPr>
        <w:pStyle w:val="BlockText"/>
        <w:numPr>
          <w:ilvl w:val="2"/>
          <w:numId w:val="15"/>
        </w:numPr>
      </w:pPr>
      <w:r w:rsidRPr="00DD6729">
        <w:rPr>
          <w:b/>
        </w:rPr>
        <w:t>Gold Mouse, Inc.</w:t>
      </w:r>
      <w:r>
        <w:rPr>
          <w:b/>
        </w:rPr>
        <w:t xml:space="preserve"> d/b/a Beach Shack</w:t>
      </w:r>
      <w:r w:rsidRPr="00DD6729">
        <w:rPr>
          <w:b/>
        </w:rPr>
        <w:t>,</w:t>
      </w:r>
      <w:r>
        <w:t xml:space="preserve"> - petition filed on June 27, 2014, regarding Rule 64E-11.007(7) regarding fly-tight openings.</w:t>
      </w:r>
    </w:p>
    <w:p w:rsidR="00756A0C" w:rsidRDefault="00756A0C" w:rsidP="003B59EA"/>
    <w:p w:rsidR="008F58B8" w:rsidRDefault="00DE52F2" w:rsidP="00DE52F2">
      <w:pPr>
        <w:pStyle w:val="BlockText"/>
      </w:pPr>
      <w:r>
        <w:rPr>
          <w:b/>
        </w:rPr>
        <w:t xml:space="preserve">D. Department of </w:t>
      </w:r>
      <w:r w:rsidR="004E142A" w:rsidRPr="00251EB1">
        <w:rPr>
          <w:b/>
        </w:rPr>
        <w:t>Financial Services</w:t>
      </w:r>
      <w:r w:rsidR="004E142A">
        <w:t xml:space="preserve">: </w:t>
      </w:r>
    </w:p>
    <w:p w:rsidR="00436BA2" w:rsidRDefault="00436BA2" w:rsidP="00436BA2">
      <w:pPr>
        <w:pStyle w:val="BlockText"/>
        <w:ind w:left="720"/>
      </w:pPr>
    </w:p>
    <w:p w:rsidR="008F58B8" w:rsidRDefault="00DE52F2" w:rsidP="00781A63">
      <w:pPr>
        <w:pStyle w:val="BlockText"/>
        <w:ind w:firstLine="720"/>
      </w:pPr>
      <w:r>
        <w:t xml:space="preserve">1. </w:t>
      </w:r>
      <w:r w:rsidR="003B59EA">
        <w:t xml:space="preserve"> </w:t>
      </w:r>
      <w:r w:rsidR="00436BA2">
        <w:t>Boiler Safety Act - Chapter 554, F. S., and Chapter 69A-51, F.A.C.</w:t>
      </w:r>
      <w:r w:rsidR="008476AE">
        <w:t>: Nothing to report.</w:t>
      </w:r>
    </w:p>
    <w:p w:rsidR="003B59EA" w:rsidRDefault="003B59EA" w:rsidP="00781A63">
      <w:pPr>
        <w:pStyle w:val="BlockText"/>
        <w:ind w:firstLine="720"/>
      </w:pPr>
    </w:p>
    <w:p w:rsidR="00E86BD7" w:rsidRDefault="003C2DE3" w:rsidP="007D12C5">
      <w:pPr>
        <w:pStyle w:val="BlockText"/>
        <w:numPr>
          <w:ilvl w:val="0"/>
          <w:numId w:val="15"/>
        </w:numPr>
      </w:pPr>
      <w:r>
        <w:t>Division of Workers’ Compensation</w:t>
      </w:r>
      <w:r w:rsidR="004E142A">
        <w:t xml:space="preserve"> – Chapter 440 and 6</w:t>
      </w:r>
      <w:r w:rsidR="00BD42D8">
        <w:t>9L FAC:</w:t>
      </w:r>
      <w:r w:rsidR="007D12C5">
        <w:t xml:space="preserve"> </w:t>
      </w:r>
      <w:r w:rsidR="003B59EA">
        <w:t>Rule 69L-6.012 is proposed for amendmen</w:t>
      </w:r>
      <w:r w:rsidR="00DD6729">
        <w:t>ts relating to the process by w</w:t>
      </w:r>
      <w:r w:rsidR="003B59EA">
        <w:t xml:space="preserve">hich corporate </w:t>
      </w:r>
      <w:r w:rsidR="00DD6729">
        <w:t>offices may apply for exemption/</w:t>
      </w:r>
    </w:p>
    <w:p w:rsidR="0001260C" w:rsidRDefault="0001260C" w:rsidP="00DD6729">
      <w:pPr>
        <w:pStyle w:val="BlockText"/>
      </w:pPr>
    </w:p>
    <w:p w:rsidR="004E142A" w:rsidRDefault="004E142A" w:rsidP="008F58B8">
      <w:pPr>
        <w:pStyle w:val="BlockText"/>
        <w:ind w:left="1080"/>
      </w:pPr>
      <w:r>
        <w:rPr>
          <w:b/>
          <w:u w:val="single"/>
        </w:rPr>
        <w:t xml:space="preserve">Important </w:t>
      </w:r>
      <w:r w:rsidRPr="00222C12">
        <w:rPr>
          <w:b/>
          <w:u w:val="single"/>
        </w:rPr>
        <w:t>Note:</w:t>
      </w:r>
      <w:r>
        <w:t xml:space="preserve"> You can check compliance with worker’s compensation insurance requirements (coverage or exemptions) by name of company, federal employer ID number, employer policy number, and exemption holder name or exemption holder SS number at </w:t>
      </w:r>
      <w:r w:rsidRPr="00222C12">
        <w:rPr>
          <w:i/>
          <w:u w:val="single"/>
        </w:rPr>
        <w:t>https//:secure.fldfs.com/WCAPPA/Compliance</w:t>
      </w:r>
      <w:r>
        <w:t>.</w:t>
      </w:r>
    </w:p>
    <w:p w:rsidR="0001260C" w:rsidRDefault="0001260C" w:rsidP="008F58B8">
      <w:pPr>
        <w:pStyle w:val="BlockText"/>
        <w:ind w:left="1080"/>
      </w:pPr>
    </w:p>
    <w:p w:rsidR="00876A95" w:rsidRDefault="0001260C" w:rsidP="00876A95">
      <w:pPr>
        <w:pStyle w:val="BlockText"/>
        <w:numPr>
          <w:ilvl w:val="0"/>
          <w:numId w:val="15"/>
        </w:numPr>
      </w:pPr>
      <w:r>
        <w:t xml:space="preserve">Office of State Fire Marshal - Chapter 633, Florida Statutes and Chapter 69A, F.C.A.: </w:t>
      </w:r>
    </w:p>
    <w:p w:rsidR="00876A95" w:rsidRDefault="00876A95" w:rsidP="00876A95">
      <w:pPr>
        <w:pStyle w:val="BlockText"/>
        <w:ind w:left="1080"/>
      </w:pPr>
    </w:p>
    <w:p w:rsidR="007D12C5" w:rsidRDefault="000E282A" w:rsidP="00876A95">
      <w:pPr>
        <w:pStyle w:val="BlockText"/>
        <w:numPr>
          <w:ilvl w:val="1"/>
          <w:numId w:val="15"/>
        </w:numPr>
      </w:pPr>
      <w:r>
        <w:t>The following rules are being proposed or amended:</w:t>
      </w:r>
      <w:r w:rsidR="00876A95">
        <w:t xml:space="preserve"> </w:t>
      </w:r>
      <w:r w:rsidR="00DD6729">
        <w:t>Nothing to report.</w:t>
      </w:r>
    </w:p>
    <w:p w:rsidR="007D12C5" w:rsidRDefault="007D12C5" w:rsidP="007D12C5">
      <w:pPr>
        <w:pStyle w:val="BlockText"/>
        <w:ind w:left="1800"/>
      </w:pPr>
    </w:p>
    <w:p w:rsidR="005C76EE" w:rsidRDefault="000E282A" w:rsidP="005C76EE">
      <w:pPr>
        <w:pStyle w:val="BlockText"/>
        <w:numPr>
          <w:ilvl w:val="1"/>
          <w:numId w:val="15"/>
        </w:numPr>
      </w:pPr>
      <w:r>
        <w:t>The following petitions for Declaratory Statement have been received or disposed of:</w:t>
      </w:r>
    </w:p>
    <w:p w:rsidR="005C76EE" w:rsidRDefault="005C76EE" w:rsidP="005C76EE">
      <w:pPr>
        <w:pStyle w:val="ListParagraph"/>
        <w:rPr>
          <w:b/>
        </w:rPr>
      </w:pPr>
    </w:p>
    <w:p w:rsidR="005C76EE" w:rsidRPr="005C76EE" w:rsidRDefault="00DD6729" w:rsidP="005C76EE">
      <w:pPr>
        <w:pStyle w:val="BlockText"/>
        <w:numPr>
          <w:ilvl w:val="2"/>
          <w:numId w:val="15"/>
        </w:numPr>
      </w:pPr>
      <w:r w:rsidRPr="005C76EE">
        <w:rPr>
          <w:b/>
        </w:rPr>
        <w:t>Sarasota Manatee Airport Authority</w:t>
      </w:r>
      <w:r w:rsidR="00AF0CA4">
        <w:t xml:space="preserve"> –</w:t>
      </w:r>
      <w:r>
        <w:t xml:space="preserve"> petition received on June 16</w:t>
      </w:r>
      <w:r w:rsidR="00AF0CA4">
        <w:t>, 2014, regarding application of Secti</w:t>
      </w:r>
      <w:r>
        <w:t>on 633.118 in the determination of “special fire service provider</w:t>
      </w:r>
      <w:r w:rsidRPr="005C76EE">
        <w:t>.”</w:t>
      </w:r>
    </w:p>
    <w:p w:rsidR="005C76EE" w:rsidRDefault="005C76EE" w:rsidP="005C76EE">
      <w:pPr>
        <w:pStyle w:val="BlockText"/>
        <w:ind w:left="2520"/>
      </w:pPr>
    </w:p>
    <w:p w:rsidR="005C76EE" w:rsidRDefault="00DD6729" w:rsidP="005C76EE">
      <w:pPr>
        <w:pStyle w:val="BlockText"/>
        <w:numPr>
          <w:ilvl w:val="2"/>
          <w:numId w:val="15"/>
        </w:numPr>
      </w:pPr>
      <w:r w:rsidRPr="005C76EE">
        <w:rPr>
          <w:b/>
        </w:rPr>
        <w:t>Michael F</w:t>
      </w:r>
      <w:r w:rsidRPr="00DD6729">
        <w:t>.</w:t>
      </w:r>
      <w:r>
        <w:t xml:space="preserve"> </w:t>
      </w:r>
      <w:r w:rsidRPr="005C76EE">
        <w:rPr>
          <w:b/>
        </w:rPr>
        <w:t>Domante, St. Petersburg Fire and Rescue</w:t>
      </w:r>
      <w:r>
        <w:t xml:space="preserve"> – petition received </w:t>
      </w:r>
      <w:r w:rsidR="005C76EE">
        <w:t xml:space="preserve">       </w:t>
      </w:r>
      <w:r>
        <w:t xml:space="preserve">on June 16, 2014, regarding the applicability of </w:t>
      </w:r>
      <w:r w:rsidR="005C76EE">
        <w:t>FFPC in the determination applicability to mini storage facilities.</w:t>
      </w:r>
    </w:p>
    <w:p w:rsidR="005C76EE" w:rsidRDefault="005C76EE" w:rsidP="005C76EE">
      <w:pPr>
        <w:pStyle w:val="BlockText"/>
        <w:ind w:left="2520"/>
      </w:pPr>
    </w:p>
    <w:p w:rsidR="005C76EE" w:rsidRDefault="005C76EE" w:rsidP="005C76EE">
      <w:pPr>
        <w:pStyle w:val="BlockText"/>
        <w:numPr>
          <w:ilvl w:val="2"/>
          <w:numId w:val="15"/>
        </w:numPr>
      </w:pPr>
      <w:r w:rsidRPr="005C76EE">
        <w:rPr>
          <w:b/>
        </w:rPr>
        <w:t>Canaveral Fire Rescue</w:t>
      </w:r>
      <w:r>
        <w:t xml:space="preserve"> – Petition filed on July 3, 2014 regarding the application to the Life Safety Code in effect at the time the building permit was issued.</w:t>
      </w:r>
    </w:p>
    <w:p w:rsidR="005C76EE" w:rsidRDefault="005C76EE" w:rsidP="005C76EE">
      <w:pPr>
        <w:pStyle w:val="ListParagraph"/>
      </w:pPr>
    </w:p>
    <w:p w:rsidR="005C76EE" w:rsidRDefault="005C76EE" w:rsidP="005C76EE">
      <w:pPr>
        <w:pStyle w:val="BlockText"/>
        <w:numPr>
          <w:ilvl w:val="2"/>
          <w:numId w:val="15"/>
        </w:numPr>
      </w:pPr>
      <w:r w:rsidRPr="005C76EE">
        <w:rPr>
          <w:b/>
        </w:rPr>
        <w:t>Clermont Fire Department</w:t>
      </w:r>
      <w:r>
        <w:t xml:space="preserve"> – Petition filed on June 30, 2014, regarding determination of whether pressures are considered impaired and, if so, should AHJ be notified.</w:t>
      </w:r>
    </w:p>
    <w:p w:rsidR="00DD6729" w:rsidRDefault="00DD6729" w:rsidP="00DD6729">
      <w:pPr>
        <w:pStyle w:val="BlockText"/>
        <w:ind w:left="2430"/>
      </w:pPr>
    </w:p>
    <w:p w:rsidR="00D255AC" w:rsidRPr="00502614" w:rsidRDefault="008476AE" w:rsidP="003C2DE3">
      <w:pPr>
        <w:pStyle w:val="BlockText"/>
        <w:ind w:left="360"/>
      </w:pPr>
      <w:r w:rsidRPr="003C2DE3">
        <w:rPr>
          <w:b/>
          <w:u w:val="single"/>
        </w:rPr>
        <w:t>Reminder:</w:t>
      </w:r>
      <w:r>
        <w:t xml:space="preserve"> </w:t>
      </w:r>
      <w:r w:rsidR="0001260C">
        <w:t>Rule 69A-60.003, amended ef</w:t>
      </w:r>
      <w:r w:rsidR="00B40FA6">
        <w:t xml:space="preserve">fective May 1, 2013, adopts </w:t>
      </w:r>
      <w:r w:rsidR="0001260C">
        <w:t>NPR 1, the Fire Code, Florida 2009 edition (as amended 3/2013 to add Section 18.4.1.3 to Section 18.4 - Fire Flow Requirements for Buildings).</w:t>
      </w:r>
      <w:r w:rsidR="003C2DE3">
        <w:t xml:space="preserve"> </w:t>
      </w:r>
      <w:r w:rsidR="00757661">
        <w:t>Section 1 of Senate Bill 1122, effect</w:t>
      </w:r>
      <w:r w:rsidR="00E17AA2">
        <w:t xml:space="preserve">ive July 1, 2013 </w:t>
      </w:r>
      <w:r w:rsidR="00757661">
        <w:t>creates a new section 633.0215(6)(b) which EXMEPTS certain structures from application of the Florida Fire Prevention Code.</w:t>
      </w:r>
    </w:p>
    <w:p w:rsidR="00D255AC" w:rsidRDefault="00D255AC" w:rsidP="00F00476">
      <w:pPr>
        <w:pStyle w:val="BlockText"/>
        <w:rPr>
          <w:b/>
          <w:i/>
          <w:u w:val="single"/>
        </w:rPr>
      </w:pPr>
    </w:p>
    <w:p w:rsidR="00F00476" w:rsidRPr="00F00476" w:rsidRDefault="00F00476" w:rsidP="00F00476">
      <w:pPr>
        <w:pStyle w:val="BlockText"/>
        <w:rPr>
          <w:b/>
          <w:i/>
          <w:u w:val="single"/>
        </w:rPr>
      </w:pPr>
      <w:r w:rsidRPr="00F00476">
        <w:rPr>
          <w:b/>
          <w:i/>
          <w:u w:val="single"/>
        </w:rPr>
        <w:t>ALERT: As a result of 2013 legislation, some panhandle development permits are eligible for 6-month extension due to Tropical Storm Karen.</w:t>
      </w:r>
    </w:p>
    <w:p w:rsidR="00D255AC" w:rsidRDefault="00D255AC" w:rsidP="008476AE">
      <w:pPr>
        <w:pStyle w:val="BlockText"/>
        <w:rPr>
          <w:b/>
          <w:u w:val="single"/>
        </w:rPr>
      </w:pPr>
    </w:p>
    <w:p w:rsidR="00B22750" w:rsidRPr="00103A3B" w:rsidRDefault="00CF37B7" w:rsidP="005C76EE">
      <w:pPr>
        <w:pStyle w:val="BlockText"/>
        <w:rPr>
          <w:rFonts w:eastAsia="Times New Roman" w:cs="Times New Roman"/>
          <w:b/>
          <w:bCs/>
          <w:sz w:val="27"/>
          <w:szCs w:val="27"/>
          <w:u w:val="single"/>
        </w:rPr>
      </w:pPr>
      <w:r w:rsidRPr="00CD02EB">
        <w:rPr>
          <w:b/>
          <w:u w:val="single"/>
        </w:rPr>
        <w:t>Legislative Action:</w:t>
      </w:r>
      <w:r w:rsidR="00156092">
        <w:t xml:space="preserve"> </w:t>
      </w:r>
      <w:r w:rsidR="005C76EE">
        <w:t xml:space="preserve"> No bills have yet been filed for consideration during the 2015 regular legislative session; typically, no bills are filed in an election year (even) prior to the general election (November), except that Claims Bills have a filing deadline in the Senate of August 1, 2014.</w:t>
      </w:r>
    </w:p>
    <w:p w:rsidR="00B22750" w:rsidRPr="00B22750" w:rsidRDefault="00B22750" w:rsidP="00B22750">
      <w:pPr>
        <w:spacing w:before="100" w:beforeAutospacing="1" w:after="100" w:afterAutospacing="1"/>
        <w:rPr>
          <w:rFonts w:eastAsia="Times New Roman" w:cs="Times New Roman"/>
          <w:vanish/>
        </w:rPr>
      </w:pPr>
      <w:r w:rsidRPr="00B22750">
        <w:rPr>
          <w:rFonts w:eastAsia="Times New Roman" w:cs="Times New Roman"/>
          <w:vanish/>
        </w:rPr>
        <w:t>Below are the media and publications posted by your tracked Senators in the past 7 days. You will receive email notifications when media and publications are posted; according to your account preferences.</w:t>
      </w:r>
    </w:p>
    <w:p w:rsidR="00B22750" w:rsidRPr="00B22750" w:rsidRDefault="00B22750" w:rsidP="00B22750">
      <w:pPr>
        <w:spacing w:before="100" w:beforeAutospacing="1" w:after="100" w:afterAutospacing="1"/>
        <w:rPr>
          <w:rFonts w:eastAsia="Times New Roman" w:cs="Times New Roman"/>
          <w:vanish/>
        </w:rPr>
      </w:pPr>
      <w:r w:rsidRPr="00B22750">
        <w:rPr>
          <w:rFonts w:eastAsia="Times New Roman" w:cs="Times New Roman"/>
          <w:vanish/>
        </w:rPr>
        <w:t>You are not tracking any Senators. </w:t>
      </w:r>
    </w:p>
    <w:p w:rsidR="00B22750" w:rsidRPr="00B22750" w:rsidRDefault="00B22750" w:rsidP="00B22750">
      <w:pPr>
        <w:spacing w:before="100" w:beforeAutospacing="1" w:after="100" w:afterAutospacing="1"/>
        <w:outlineLvl w:val="2"/>
        <w:rPr>
          <w:rFonts w:eastAsia="Times New Roman" w:cs="Times New Roman"/>
          <w:b/>
          <w:bCs/>
          <w:vanish/>
          <w:sz w:val="27"/>
          <w:szCs w:val="27"/>
        </w:rPr>
      </w:pPr>
      <w:r w:rsidRPr="00B22750">
        <w:rPr>
          <w:rFonts w:eastAsia="Times New Roman" w:cs="Times New Roman"/>
          <w:b/>
          <w:bCs/>
          <w:vanish/>
          <w:sz w:val="27"/>
          <w:szCs w:val="27"/>
        </w:rPr>
        <w:t>Committees</w:t>
      </w:r>
    </w:p>
    <w:p w:rsidR="00B22750" w:rsidRPr="00B22750" w:rsidRDefault="00B22750" w:rsidP="00B22750">
      <w:pPr>
        <w:spacing w:before="100" w:beforeAutospacing="1" w:after="100" w:afterAutospacing="1"/>
        <w:rPr>
          <w:rFonts w:eastAsia="Times New Roman" w:cs="Times New Roman"/>
          <w:vanish/>
        </w:rPr>
      </w:pPr>
      <w:r w:rsidRPr="00B22750">
        <w:rPr>
          <w:rFonts w:eastAsia="Times New Roman" w:cs="Times New Roman"/>
          <w:vanish/>
        </w:rPr>
        <w:t>Below are the meeting records and publications posted by your tracked committees for the next or previous 8 days. You will receive email notifications when committee meeting records and publications are posted; according to your account preferences.</w:t>
      </w:r>
    </w:p>
    <w:p w:rsidR="00B22750" w:rsidRPr="00B22750" w:rsidRDefault="00B22750" w:rsidP="00B22750">
      <w:pPr>
        <w:spacing w:before="100" w:beforeAutospacing="1" w:after="100" w:afterAutospacing="1"/>
        <w:rPr>
          <w:rFonts w:eastAsia="Times New Roman" w:cs="Times New Roman"/>
          <w:vanish/>
        </w:rPr>
      </w:pPr>
      <w:r w:rsidRPr="00B22750">
        <w:rPr>
          <w:rFonts w:eastAsia="Times New Roman" w:cs="Times New Roman"/>
          <w:vanish/>
        </w:rPr>
        <w:t>You are not tracking any Committees. </w:t>
      </w:r>
    </w:p>
    <w:p w:rsidR="00B22750" w:rsidRPr="00B22750" w:rsidRDefault="00B22750" w:rsidP="00B22750">
      <w:pPr>
        <w:spacing w:before="100" w:beforeAutospacing="1" w:after="100" w:afterAutospacing="1"/>
        <w:outlineLvl w:val="2"/>
        <w:rPr>
          <w:rFonts w:eastAsia="Times New Roman" w:cs="Times New Roman"/>
          <w:b/>
          <w:bCs/>
          <w:vanish/>
          <w:sz w:val="27"/>
          <w:szCs w:val="27"/>
        </w:rPr>
      </w:pPr>
      <w:r w:rsidRPr="00B22750">
        <w:rPr>
          <w:rFonts w:eastAsia="Times New Roman" w:cs="Times New Roman"/>
          <w:b/>
          <w:bCs/>
          <w:vanish/>
          <w:sz w:val="27"/>
          <w:szCs w:val="27"/>
        </w:rPr>
        <w:t>Offices</w:t>
      </w:r>
    </w:p>
    <w:p w:rsidR="00B22750" w:rsidRPr="00B22750" w:rsidRDefault="00B22750" w:rsidP="00B22750">
      <w:pPr>
        <w:spacing w:before="100" w:beforeAutospacing="1" w:after="100" w:afterAutospacing="1"/>
        <w:rPr>
          <w:rFonts w:eastAsia="Times New Roman" w:cs="Times New Roman"/>
          <w:vanish/>
        </w:rPr>
      </w:pPr>
      <w:r w:rsidRPr="00B22750">
        <w:rPr>
          <w:rFonts w:eastAsia="Times New Roman" w:cs="Times New Roman"/>
          <w:vanish/>
        </w:rPr>
        <w:t>Below are the media and publications posted by your tracked Offices in the past 7 days. You will receive email notifications when media and publications are posted; according to your account preferences.</w:t>
      </w:r>
    </w:p>
    <w:p w:rsidR="00B22750" w:rsidRPr="00B22750" w:rsidRDefault="00B22750" w:rsidP="00B22750">
      <w:pPr>
        <w:spacing w:before="100" w:beforeAutospacing="1" w:after="100" w:afterAutospacing="1"/>
        <w:rPr>
          <w:rFonts w:eastAsia="Times New Roman" w:cs="Times New Roman"/>
          <w:vanish/>
        </w:rPr>
      </w:pPr>
      <w:r w:rsidRPr="00B22750">
        <w:rPr>
          <w:rFonts w:eastAsia="Times New Roman" w:cs="Times New Roman"/>
          <w:vanish/>
        </w:rPr>
        <w:t>You are not tracking any Offices. </w:t>
      </w:r>
    </w:p>
    <w:p w:rsidR="00B22750" w:rsidRPr="00B22750" w:rsidRDefault="00B22750" w:rsidP="00B22750">
      <w:pPr>
        <w:spacing w:before="100" w:beforeAutospacing="1" w:after="100" w:afterAutospacing="1"/>
        <w:outlineLvl w:val="2"/>
        <w:rPr>
          <w:rFonts w:eastAsia="Times New Roman" w:cs="Times New Roman"/>
          <w:b/>
          <w:bCs/>
          <w:vanish/>
          <w:sz w:val="27"/>
          <w:szCs w:val="27"/>
        </w:rPr>
      </w:pPr>
      <w:r w:rsidRPr="00B22750">
        <w:rPr>
          <w:rFonts w:eastAsia="Times New Roman" w:cs="Times New Roman"/>
          <w:b/>
          <w:bCs/>
          <w:vanish/>
          <w:sz w:val="27"/>
          <w:szCs w:val="27"/>
        </w:rPr>
        <w:t>Media</w:t>
      </w:r>
    </w:p>
    <w:p w:rsidR="00B22750" w:rsidRPr="00B22750" w:rsidRDefault="00B22750" w:rsidP="00B22750">
      <w:pPr>
        <w:spacing w:before="100" w:beforeAutospacing="1" w:after="100" w:afterAutospacing="1"/>
        <w:rPr>
          <w:rFonts w:eastAsia="Times New Roman" w:cs="Times New Roman"/>
          <w:vanish/>
        </w:rPr>
      </w:pPr>
      <w:r w:rsidRPr="00B22750">
        <w:rPr>
          <w:rFonts w:eastAsia="Times New Roman" w:cs="Times New Roman"/>
          <w:vanish/>
        </w:rPr>
        <w:t>Below are the media and publications posted in the past 7 days. You will receive email notifications when Press Releases, Publications, and Speeches are posted; according to your account preferences.</w:t>
      </w:r>
    </w:p>
    <w:p w:rsidR="00B22750" w:rsidRPr="00B22750" w:rsidRDefault="00B22750" w:rsidP="00B22750">
      <w:pPr>
        <w:spacing w:before="100" w:beforeAutospacing="1" w:after="100" w:afterAutospacing="1"/>
        <w:rPr>
          <w:rFonts w:eastAsia="Times New Roman" w:cs="Times New Roman"/>
          <w:vanish/>
        </w:rPr>
      </w:pPr>
      <w:r w:rsidRPr="00B22750">
        <w:rPr>
          <w:rFonts w:eastAsia="Times New Roman" w:cs="Times New Roman"/>
          <w:vanish/>
        </w:rPr>
        <w:t>You are not tracking any Media. </w:t>
      </w:r>
    </w:p>
    <w:p w:rsidR="002438D2" w:rsidRDefault="002438D2" w:rsidP="008476AE">
      <w:pPr>
        <w:pStyle w:val="BlockText"/>
      </w:pPr>
    </w:p>
    <w:p w:rsidR="00156092" w:rsidRDefault="00156092" w:rsidP="002B78B0">
      <w:pPr>
        <w:pStyle w:val="BlockText"/>
      </w:pPr>
      <w:r>
        <w:t>Respectfully submitted,</w:t>
      </w:r>
    </w:p>
    <w:p w:rsidR="00E8267C" w:rsidRDefault="009F4440" w:rsidP="002B78B0">
      <w:pPr>
        <w:pStyle w:val="BlockText"/>
      </w:pPr>
      <w:r>
        <w:t>Fred R. Dudley, Esq.</w:t>
      </w:r>
    </w:p>
    <w:p w:rsidR="00502614" w:rsidRDefault="00502614" w:rsidP="002B78B0">
      <w:pPr>
        <w:pStyle w:val="BlockText"/>
      </w:pPr>
      <w:r>
        <w:t xml:space="preserve">Seller </w:t>
      </w:r>
      <w:r w:rsidR="00C10E53">
        <w:t xml:space="preserve">E. </w:t>
      </w:r>
      <w:r>
        <w:t>Sellers</w:t>
      </w:r>
      <w:r w:rsidR="001F0D0C">
        <w:t>, Esq.</w:t>
      </w:r>
    </w:p>
    <w:p w:rsidR="00156092" w:rsidRDefault="005C76EE" w:rsidP="002B78B0">
      <w:pPr>
        <w:pStyle w:val="BlockText"/>
      </w:pPr>
      <w:r>
        <w:t>July 14</w:t>
      </w:r>
      <w:r w:rsidR="0029168D">
        <w:t>, 2</w:t>
      </w:r>
      <w:r w:rsidR="004B10A3">
        <w:t>014</w:t>
      </w:r>
      <w:r w:rsidR="00156092">
        <w:t>.</w:t>
      </w:r>
    </w:p>
    <w:p w:rsidR="009C6CE8" w:rsidRDefault="009C6CE8" w:rsidP="00922A6D">
      <w:pPr>
        <w:pStyle w:val="BlockText"/>
        <w:ind w:left="360"/>
      </w:pPr>
    </w:p>
    <w:p w:rsidR="005B581D" w:rsidRDefault="005B581D">
      <w:pPr>
        <w:pStyle w:val="BlockText"/>
        <w:ind w:left="360"/>
      </w:pPr>
    </w:p>
    <w:sectPr w:rsidR="005B581D" w:rsidSect="009A10B6">
      <w:footerReference w:type="default" r:id="rId8"/>
      <w:footerReference w:type="first" r:id="rId9"/>
      <w:pgSz w:w="12240" w:h="15840"/>
      <w:pgMar w:top="1152" w:right="1440" w:bottom="1440" w:left="1152"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62131" w:rsidRDefault="00462131" w:rsidP="009A2CBA">
      <w:r>
        <w:separator/>
      </w:r>
    </w:p>
  </w:endnote>
  <w:endnote w:type="continuationSeparator" w:id="0">
    <w:p w:rsidR="00462131" w:rsidRDefault="00462131" w:rsidP="009A2C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TimesNewRomanPSMT">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A5EE6" w:rsidRPr="00B40FA6" w:rsidRDefault="00CA5EE6" w:rsidP="000421B5">
    <w:pPr>
      <w:pStyle w:val="Footer"/>
      <w:rPr>
        <w:rStyle w:val="DocID"/>
        <w:sz w:val="24"/>
      </w:rPr>
    </w:pPr>
    <w:r>
      <w:tab/>
    </w:r>
    <w:r>
      <w:fldChar w:fldCharType="begin"/>
    </w:r>
    <w:r>
      <w:instrText xml:space="preserve"> PAGE   \* MERGEFORMAT </w:instrText>
    </w:r>
    <w:r>
      <w:fldChar w:fldCharType="separate"/>
    </w:r>
    <w:r w:rsidR="009558E7">
      <w:rPr>
        <w:noProof/>
      </w:rPr>
      <w:t>9</w:t>
    </w:r>
    <w:r>
      <w:rPr>
        <w:noProof/>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A5EE6" w:rsidRPr="00911FE4" w:rsidRDefault="00CA5EE6" w:rsidP="000421B5">
    <w:pPr>
      <w:pStyle w:val="Footer"/>
      <w:rPr>
        <w:rStyle w:val="DocID"/>
      </w:rPr>
    </w:pPr>
    <w:r>
      <w:rPr>
        <w:sz w:val="20"/>
      </w:rPr>
      <w:fldChar w:fldCharType="begin"/>
    </w:r>
    <w:r>
      <w:rPr>
        <w:sz w:val="20"/>
      </w:rPr>
      <w:instrText xml:space="preserve"> If </w:instrText>
    </w:r>
    <w:r>
      <w:rPr>
        <w:sz w:val="20"/>
      </w:rPr>
      <w:fldChar w:fldCharType="begin"/>
    </w:r>
    <w:r>
      <w:rPr>
        <w:sz w:val="20"/>
      </w:rPr>
      <w:instrText xml:space="preserve"> numpages </w:instrText>
    </w:r>
    <w:r>
      <w:rPr>
        <w:sz w:val="20"/>
      </w:rPr>
      <w:fldChar w:fldCharType="separate"/>
    </w:r>
    <w:r w:rsidR="009558E7">
      <w:rPr>
        <w:noProof/>
        <w:sz w:val="20"/>
      </w:rPr>
      <w:instrText>9</w:instrText>
    </w:r>
    <w:r>
      <w:rPr>
        <w:sz w:val="20"/>
      </w:rPr>
      <w:fldChar w:fldCharType="end"/>
    </w:r>
    <w:r>
      <w:rPr>
        <w:sz w:val="20"/>
      </w:rPr>
      <w:instrText xml:space="preserve"> = 1 </w:instrText>
    </w:r>
    <w:r w:rsidRPr="002438D2">
      <w:rPr>
        <w:rStyle w:val="DocID"/>
      </w:rPr>
      <w:instrText>#12612613_v1</w:instrText>
    </w:r>
    <w:r>
      <w:instrText xml:space="preserve"> ""</w:instrText>
    </w:r>
    <w:r>
      <w:rPr>
        <w:sz w:val="20"/>
      </w:rPr>
      <w:instrText xml:space="preserve"> </w:instrText>
    </w:r>
    <w:r>
      <w:rPr>
        <w:sz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62131" w:rsidRDefault="00462131" w:rsidP="009A2CBA">
      <w:r>
        <w:separator/>
      </w:r>
    </w:p>
  </w:footnote>
  <w:footnote w:type="continuationSeparator" w:id="0">
    <w:p w:rsidR="00462131" w:rsidRDefault="00462131" w:rsidP="009A2CBA">
      <w:r>
        <w:continuationSeparator/>
      </w:r>
    </w:p>
  </w:footnote>
  <w:footnote w:id="1">
    <w:p w:rsidR="00CA5EE6" w:rsidRPr="0038047E" w:rsidRDefault="00CA5EE6" w:rsidP="00491907">
      <w:pPr>
        <w:pStyle w:val="BlockText"/>
      </w:pPr>
      <w:r>
        <w:rPr>
          <w:rStyle w:val="FootnoteReference"/>
        </w:rPr>
        <w:footnoteRef/>
      </w:r>
      <w:r>
        <w:t xml:space="preserve"> The Florida Building Commission is </w:t>
      </w:r>
      <w:r w:rsidRPr="00F054FC">
        <w:rPr>
          <w:b/>
          <w:u w:val="single"/>
        </w:rPr>
        <w:t>not</w:t>
      </w:r>
      <w:r>
        <w:t xml:space="preserve"> allowed to grant variances or waivers from the Florida Building Code, expect as to handicapped accessibility issues. </w:t>
      </w:r>
      <w:r w:rsidRPr="0038047E">
        <w:t xml:space="preserve">As part of the TRANSFER of this commission from the now-defunct Department of Community Affairs to the Department of Business and Professional Regulation, all rules from </w:t>
      </w:r>
      <w:r>
        <w:t xml:space="preserve">former </w:t>
      </w:r>
      <w:r w:rsidRPr="0038047E">
        <w:t>Chapter 9N have been TRANSFERRED to Chapter 61G20, FAC.</w:t>
      </w:r>
    </w:p>
    <w:p w:rsidR="00CA5EE6" w:rsidRDefault="00CA5EE6" w:rsidP="004E142A">
      <w:pPr>
        <w:pStyle w:val="BlockText"/>
      </w:pPr>
    </w:p>
    <w:p w:rsidR="00CA5EE6" w:rsidRDefault="00CA5EE6" w:rsidP="004E142A">
      <w:pPr>
        <w:pStyle w:val="FootnoteText"/>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F"/>
    <w:multiLevelType w:val="singleLevel"/>
    <w:tmpl w:val="5C825458"/>
    <w:lvl w:ilvl="0">
      <w:start w:val="1"/>
      <w:numFmt w:val="decimal"/>
      <w:pStyle w:val="ListNumber2"/>
      <w:lvlText w:val="%1."/>
      <w:lvlJc w:val="left"/>
      <w:pPr>
        <w:tabs>
          <w:tab w:val="num" w:pos="1080"/>
        </w:tabs>
        <w:ind w:left="0" w:firstLine="720"/>
      </w:pPr>
      <w:rPr>
        <w:rFonts w:hint="default"/>
      </w:rPr>
    </w:lvl>
  </w:abstractNum>
  <w:abstractNum w:abstractNumId="1">
    <w:nsid w:val="FFFFFF83"/>
    <w:multiLevelType w:val="singleLevel"/>
    <w:tmpl w:val="C078518A"/>
    <w:lvl w:ilvl="0">
      <w:start w:val="1"/>
      <w:numFmt w:val="bullet"/>
      <w:pStyle w:val="ListBullet2"/>
      <w:lvlText w:val=""/>
      <w:lvlJc w:val="left"/>
      <w:pPr>
        <w:tabs>
          <w:tab w:val="num" w:pos="720"/>
        </w:tabs>
        <w:ind w:left="720" w:hanging="360"/>
      </w:pPr>
      <w:rPr>
        <w:rFonts w:ascii="Symbol" w:hAnsi="Symbol" w:hint="default"/>
      </w:rPr>
    </w:lvl>
  </w:abstractNum>
  <w:abstractNum w:abstractNumId="2">
    <w:nsid w:val="FFFFFF88"/>
    <w:multiLevelType w:val="singleLevel"/>
    <w:tmpl w:val="C9404A92"/>
    <w:lvl w:ilvl="0">
      <w:start w:val="1"/>
      <w:numFmt w:val="decimal"/>
      <w:pStyle w:val="ListNumber"/>
      <w:lvlText w:val="%1."/>
      <w:lvlJc w:val="left"/>
      <w:pPr>
        <w:tabs>
          <w:tab w:val="num" w:pos="1080"/>
        </w:tabs>
        <w:ind w:left="0" w:firstLine="720"/>
      </w:pPr>
      <w:rPr>
        <w:rFonts w:hint="default"/>
      </w:rPr>
    </w:lvl>
  </w:abstractNum>
  <w:abstractNum w:abstractNumId="3">
    <w:nsid w:val="FFFFFF89"/>
    <w:multiLevelType w:val="singleLevel"/>
    <w:tmpl w:val="41247350"/>
    <w:lvl w:ilvl="0">
      <w:start w:val="1"/>
      <w:numFmt w:val="bullet"/>
      <w:pStyle w:val="ListBullet"/>
      <w:lvlText w:val=""/>
      <w:lvlJc w:val="left"/>
      <w:pPr>
        <w:tabs>
          <w:tab w:val="num" w:pos="360"/>
        </w:tabs>
        <w:ind w:left="360" w:hanging="360"/>
      </w:pPr>
      <w:rPr>
        <w:rFonts w:ascii="Symbol" w:hAnsi="Symbol" w:hint="default"/>
      </w:rPr>
    </w:lvl>
  </w:abstractNum>
  <w:abstractNum w:abstractNumId="4">
    <w:nsid w:val="04BF4149"/>
    <w:multiLevelType w:val="hybridMultilevel"/>
    <w:tmpl w:val="EDDA834A"/>
    <w:lvl w:ilvl="0" w:tplc="4CF4B33A">
      <w:start w:val="1"/>
      <w:numFmt w:val="lowerLetter"/>
      <w:lvlText w:val="%1."/>
      <w:lvlJc w:val="left"/>
      <w:pPr>
        <w:ind w:left="1710" w:hanging="360"/>
      </w:pPr>
      <w:rPr>
        <w:rFonts w:ascii="Times New Roman" w:eastAsiaTheme="minorEastAsia" w:hAnsi="Times New Roman" w:cstheme="minorBidi"/>
      </w:rPr>
    </w:lvl>
    <w:lvl w:ilvl="1" w:tplc="04090019">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5">
    <w:nsid w:val="12DA5F02"/>
    <w:multiLevelType w:val="hybridMultilevel"/>
    <w:tmpl w:val="E334E276"/>
    <w:lvl w:ilvl="0" w:tplc="8AA67228">
      <w:start w:val="1"/>
      <w:numFmt w:val="decimal"/>
      <w:pStyle w:val="ListNumberB"/>
      <w:lvlText w:val="%1."/>
      <w:lvlJc w:val="left"/>
      <w:pPr>
        <w:tabs>
          <w:tab w:val="num" w:pos="1080"/>
        </w:tabs>
        <w:ind w:left="0" w:firstLine="72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5CE3F3E"/>
    <w:multiLevelType w:val="hybridMultilevel"/>
    <w:tmpl w:val="6000528C"/>
    <w:lvl w:ilvl="0" w:tplc="0B066A24">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nsid w:val="20B90BCA"/>
    <w:multiLevelType w:val="hybridMultilevel"/>
    <w:tmpl w:val="89CE1388"/>
    <w:lvl w:ilvl="0" w:tplc="8154DF34">
      <w:start w:val="1"/>
      <w:numFmt w:val="decimal"/>
      <w:pStyle w:val="List"/>
      <w:lvlText w:val="%1."/>
      <w:lvlJc w:val="left"/>
      <w:pPr>
        <w:tabs>
          <w:tab w:val="num" w:pos="720"/>
        </w:tabs>
        <w:ind w:left="72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2B702DC"/>
    <w:multiLevelType w:val="hybridMultilevel"/>
    <w:tmpl w:val="52A02DA4"/>
    <w:lvl w:ilvl="0" w:tplc="3CA63BF8">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2F564140"/>
    <w:multiLevelType w:val="hybridMultilevel"/>
    <w:tmpl w:val="A43ADF78"/>
    <w:lvl w:ilvl="0" w:tplc="A6D83FE6">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nsid w:val="350E0A57"/>
    <w:multiLevelType w:val="hybridMultilevel"/>
    <w:tmpl w:val="3A704E34"/>
    <w:lvl w:ilvl="0" w:tplc="7E4CA22E">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71380066">
      <w:start w:val="1"/>
      <w:numFmt w:val="decimal"/>
      <w:lvlText w:val="%4."/>
      <w:lvlJc w:val="left"/>
      <w:pPr>
        <w:ind w:left="3240" w:hanging="360"/>
      </w:pPr>
      <w:rPr>
        <w:rFonts w:ascii="Times New Roman" w:eastAsiaTheme="minorEastAsia" w:hAnsi="Times New Roman" w:cstheme="minorBidi"/>
      </w:rPr>
    </w:lvl>
    <w:lvl w:ilvl="4" w:tplc="32263AEA">
      <w:start w:val="1"/>
      <w:numFmt w:val="upperLetter"/>
      <w:lvlText w:val="%5."/>
      <w:lvlJc w:val="left"/>
      <w:pPr>
        <w:ind w:left="3960" w:hanging="360"/>
      </w:pPr>
      <w:rPr>
        <w:rFonts w:hint="default"/>
      </w:rPr>
    </w:lvl>
    <w:lvl w:ilvl="5" w:tplc="87729F82">
      <w:start w:val="1"/>
      <w:numFmt w:val="decimal"/>
      <w:lvlText w:val="%6"/>
      <w:lvlJc w:val="left"/>
      <w:pPr>
        <w:ind w:left="4860" w:hanging="360"/>
      </w:pPr>
      <w:rPr>
        <w:rFonts w:hint="default"/>
        <w:u w:val="single"/>
      </w:r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408162AD"/>
    <w:multiLevelType w:val="hybridMultilevel"/>
    <w:tmpl w:val="63F055DC"/>
    <w:lvl w:ilvl="0" w:tplc="717AC844">
      <w:start w:val="9"/>
      <w:numFmt w:val="lowerLetter"/>
      <w:lvlText w:val="%1."/>
      <w:lvlJc w:val="left"/>
      <w:pPr>
        <w:ind w:left="2430" w:hanging="360"/>
      </w:pPr>
      <w:rPr>
        <w:rFonts w:hint="default"/>
      </w:rPr>
    </w:lvl>
    <w:lvl w:ilvl="1" w:tplc="04090019" w:tentative="1">
      <w:start w:val="1"/>
      <w:numFmt w:val="lowerLetter"/>
      <w:lvlText w:val="%2."/>
      <w:lvlJc w:val="left"/>
      <w:pPr>
        <w:ind w:left="3150" w:hanging="360"/>
      </w:pPr>
    </w:lvl>
    <w:lvl w:ilvl="2" w:tplc="0409001B" w:tentative="1">
      <w:start w:val="1"/>
      <w:numFmt w:val="lowerRoman"/>
      <w:lvlText w:val="%3."/>
      <w:lvlJc w:val="right"/>
      <w:pPr>
        <w:ind w:left="3870" w:hanging="180"/>
      </w:pPr>
    </w:lvl>
    <w:lvl w:ilvl="3" w:tplc="0409000F" w:tentative="1">
      <w:start w:val="1"/>
      <w:numFmt w:val="decimal"/>
      <w:lvlText w:val="%4."/>
      <w:lvlJc w:val="left"/>
      <w:pPr>
        <w:ind w:left="4590" w:hanging="360"/>
      </w:pPr>
    </w:lvl>
    <w:lvl w:ilvl="4" w:tplc="04090019" w:tentative="1">
      <w:start w:val="1"/>
      <w:numFmt w:val="lowerLetter"/>
      <w:lvlText w:val="%5."/>
      <w:lvlJc w:val="left"/>
      <w:pPr>
        <w:ind w:left="5310" w:hanging="360"/>
      </w:pPr>
    </w:lvl>
    <w:lvl w:ilvl="5" w:tplc="0409001B" w:tentative="1">
      <w:start w:val="1"/>
      <w:numFmt w:val="lowerRoman"/>
      <w:lvlText w:val="%6."/>
      <w:lvlJc w:val="right"/>
      <w:pPr>
        <w:ind w:left="6030" w:hanging="180"/>
      </w:pPr>
    </w:lvl>
    <w:lvl w:ilvl="6" w:tplc="0409000F" w:tentative="1">
      <w:start w:val="1"/>
      <w:numFmt w:val="decimal"/>
      <w:lvlText w:val="%7."/>
      <w:lvlJc w:val="left"/>
      <w:pPr>
        <w:ind w:left="6750" w:hanging="360"/>
      </w:pPr>
    </w:lvl>
    <w:lvl w:ilvl="7" w:tplc="04090019" w:tentative="1">
      <w:start w:val="1"/>
      <w:numFmt w:val="lowerLetter"/>
      <w:lvlText w:val="%8."/>
      <w:lvlJc w:val="left"/>
      <w:pPr>
        <w:ind w:left="7470" w:hanging="360"/>
      </w:pPr>
    </w:lvl>
    <w:lvl w:ilvl="8" w:tplc="0409001B" w:tentative="1">
      <w:start w:val="1"/>
      <w:numFmt w:val="lowerRoman"/>
      <w:lvlText w:val="%9."/>
      <w:lvlJc w:val="right"/>
      <w:pPr>
        <w:ind w:left="8190" w:hanging="180"/>
      </w:pPr>
    </w:lvl>
  </w:abstractNum>
  <w:abstractNum w:abstractNumId="12">
    <w:nsid w:val="5B6A3298"/>
    <w:multiLevelType w:val="hybridMultilevel"/>
    <w:tmpl w:val="6B561D76"/>
    <w:lvl w:ilvl="0" w:tplc="8C16D2CE">
      <w:start w:val="1"/>
      <w:numFmt w:val="upperLetter"/>
      <w:pStyle w:val="ListALPHAB"/>
      <w:lvlText w:val="%1."/>
      <w:lvlJc w:val="left"/>
      <w:pPr>
        <w:tabs>
          <w:tab w:val="num" w:pos="1080"/>
        </w:tabs>
        <w:ind w:left="0" w:firstLine="720"/>
      </w:pPr>
      <w:rPr>
        <w:rFonts w:hint="default"/>
        <w:b/>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72002FF9"/>
    <w:multiLevelType w:val="hybridMultilevel"/>
    <w:tmpl w:val="32F423A0"/>
    <w:lvl w:ilvl="0" w:tplc="1AA2FA5A">
      <w:start w:val="1"/>
      <w:numFmt w:val="lowerLetter"/>
      <w:pStyle w:val="ListalphaB0"/>
      <w:lvlText w:val="%1."/>
      <w:lvlJc w:val="left"/>
      <w:pPr>
        <w:tabs>
          <w:tab w:val="num" w:pos="1080"/>
        </w:tabs>
        <w:ind w:left="0" w:firstLine="720"/>
      </w:pPr>
      <w:rPr>
        <w:rFonts w:hint="default"/>
        <w:b/>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7E141586"/>
    <w:multiLevelType w:val="hybridMultilevel"/>
    <w:tmpl w:val="3F6EB712"/>
    <w:lvl w:ilvl="0" w:tplc="74AE98BE">
      <w:start w:val="1"/>
      <w:numFmt w:val="lowerLetter"/>
      <w:pStyle w:val="Listalpha"/>
      <w:lvlText w:val="%1."/>
      <w:lvlJc w:val="left"/>
      <w:pPr>
        <w:tabs>
          <w:tab w:val="num" w:pos="1080"/>
        </w:tabs>
        <w:ind w:left="0" w:firstLine="720"/>
      </w:pPr>
      <w:rPr>
        <w:rFonts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nsid w:val="7F7C7F6B"/>
    <w:multiLevelType w:val="hybridMultilevel"/>
    <w:tmpl w:val="2ACE9752"/>
    <w:lvl w:ilvl="0" w:tplc="3788DEFC">
      <w:start w:val="1"/>
      <w:numFmt w:val="upperLetter"/>
      <w:pStyle w:val="ListALPHA0"/>
      <w:lvlText w:val="%1."/>
      <w:lvlJc w:val="left"/>
      <w:pPr>
        <w:tabs>
          <w:tab w:val="num" w:pos="1080"/>
        </w:tabs>
        <w:ind w:left="0" w:firstLine="720"/>
      </w:pPr>
      <w:rPr>
        <w:rFonts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2"/>
  </w:num>
  <w:num w:numId="2">
    <w:abstractNumId w:val="0"/>
  </w:num>
  <w:num w:numId="3">
    <w:abstractNumId w:val="13"/>
  </w:num>
  <w:num w:numId="4">
    <w:abstractNumId w:val="14"/>
  </w:num>
  <w:num w:numId="5">
    <w:abstractNumId w:val="12"/>
  </w:num>
  <w:num w:numId="6">
    <w:abstractNumId w:val="15"/>
  </w:num>
  <w:num w:numId="7">
    <w:abstractNumId w:val="5"/>
  </w:num>
  <w:num w:numId="8">
    <w:abstractNumId w:val="7"/>
  </w:num>
  <w:num w:numId="9">
    <w:abstractNumId w:val="3"/>
  </w:num>
  <w:num w:numId="10">
    <w:abstractNumId w:val="1"/>
  </w:num>
  <w:num w:numId="11">
    <w:abstractNumId w:val="10"/>
  </w:num>
  <w:num w:numId="12">
    <w:abstractNumId w:val="4"/>
  </w:num>
  <w:num w:numId="13">
    <w:abstractNumId w:val="11"/>
  </w:num>
  <w:num w:numId="14">
    <w:abstractNumId w:val="6"/>
  </w:num>
  <w:num w:numId="15">
    <w:abstractNumId w:val="8"/>
  </w:num>
  <w:num w:numId="16">
    <w:abstractNumId w:val="9"/>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egacyDocIDRemoved" w:val="True"/>
  </w:docVars>
  <w:rsids>
    <w:rsidRoot w:val="00D8155F"/>
    <w:rsid w:val="00003119"/>
    <w:rsid w:val="000031A8"/>
    <w:rsid w:val="00011776"/>
    <w:rsid w:val="0001260C"/>
    <w:rsid w:val="00013164"/>
    <w:rsid w:val="00016A29"/>
    <w:rsid w:val="00026394"/>
    <w:rsid w:val="00026C6B"/>
    <w:rsid w:val="00027FC3"/>
    <w:rsid w:val="000302BC"/>
    <w:rsid w:val="000324B5"/>
    <w:rsid w:val="000340FB"/>
    <w:rsid w:val="000341ED"/>
    <w:rsid w:val="000421B5"/>
    <w:rsid w:val="0005012E"/>
    <w:rsid w:val="000509E7"/>
    <w:rsid w:val="00052694"/>
    <w:rsid w:val="00054D0D"/>
    <w:rsid w:val="0005515D"/>
    <w:rsid w:val="00055700"/>
    <w:rsid w:val="00061C8E"/>
    <w:rsid w:val="00065B23"/>
    <w:rsid w:val="00066D23"/>
    <w:rsid w:val="00071707"/>
    <w:rsid w:val="00074EDF"/>
    <w:rsid w:val="0008109E"/>
    <w:rsid w:val="00084298"/>
    <w:rsid w:val="00094361"/>
    <w:rsid w:val="00094EBD"/>
    <w:rsid w:val="000A3246"/>
    <w:rsid w:val="000A4BA4"/>
    <w:rsid w:val="000A66AC"/>
    <w:rsid w:val="000B0E17"/>
    <w:rsid w:val="000B1DDB"/>
    <w:rsid w:val="000B1E71"/>
    <w:rsid w:val="000B2203"/>
    <w:rsid w:val="000B76DD"/>
    <w:rsid w:val="000C4772"/>
    <w:rsid w:val="000C4BC7"/>
    <w:rsid w:val="000D08E7"/>
    <w:rsid w:val="000D2555"/>
    <w:rsid w:val="000D4C0F"/>
    <w:rsid w:val="000D7A4E"/>
    <w:rsid w:val="000E17E8"/>
    <w:rsid w:val="000E282A"/>
    <w:rsid w:val="000E6D1A"/>
    <w:rsid w:val="000F112D"/>
    <w:rsid w:val="000F2EBD"/>
    <w:rsid w:val="000F6911"/>
    <w:rsid w:val="000F69D8"/>
    <w:rsid w:val="00100E22"/>
    <w:rsid w:val="00103A3B"/>
    <w:rsid w:val="00103CDF"/>
    <w:rsid w:val="0010433D"/>
    <w:rsid w:val="00107362"/>
    <w:rsid w:val="00110D3B"/>
    <w:rsid w:val="001114F7"/>
    <w:rsid w:val="001148B5"/>
    <w:rsid w:val="001150F0"/>
    <w:rsid w:val="001156AF"/>
    <w:rsid w:val="00117224"/>
    <w:rsid w:val="00117544"/>
    <w:rsid w:val="00121A5A"/>
    <w:rsid w:val="00126ABD"/>
    <w:rsid w:val="0013367A"/>
    <w:rsid w:val="00135B1C"/>
    <w:rsid w:val="001437FC"/>
    <w:rsid w:val="00146E4E"/>
    <w:rsid w:val="001476D7"/>
    <w:rsid w:val="00151063"/>
    <w:rsid w:val="00151720"/>
    <w:rsid w:val="00151F43"/>
    <w:rsid w:val="00156092"/>
    <w:rsid w:val="001572A8"/>
    <w:rsid w:val="00162E5A"/>
    <w:rsid w:val="001649EE"/>
    <w:rsid w:val="001673C5"/>
    <w:rsid w:val="0017187B"/>
    <w:rsid w:val="00172C04"/>
    <w:rsid w:val="00175923"/>
    <w:rsid w:val="001768AB"/>
    <w:rsid w:val="00177AA7"/>
    <w:rsid w:val="0019065B"/>
    <w:rsid w:val="001963BC"/>
    <w:rsid w:val="001B0E80"/>
    <w:rsid w:val="001B11FD"/>
    <w:rsid w:val="001B4226"/>
    <w:rsid w:val="001B5A99"/>
    <w:rsid w:val="001B5DD4"/>
    <w:rsid w:val="001B6195"/>
    <w:rsid w:val="001B73F6"/>
    <w:rsid w:val="001D0121"/>
    <w:rsid w:val="001D1B70"/>
    <w:rsid w:val="001D25D1"/>
    <w:rsid w:val="001D50A8"/>
    <w:rsid w:val="001E327E"/>
    <w:rsid w:val="001E3281"/>
    <w:rsid w:val="001F01B4"/>
    <w:rsid w:val="001F0D0C"/>
    <w:rsid w:val="001F18CD"/>
    <w:rsid w:val="001F7DB9"/>
    <w:rsid w:val="00200951"/>
    <w:rsid w:val="002031ED"/>
    <w:rsid w:val="00210263"/>
    <w:rsid w:val="00217EBB"/>
    <w:rsid w:val="00221926"/>
    <w:rsid w:val="00221AAE"/>
    <w:rsid w:val="00222C12"/>
    <w:rsid w:val="002236E8"/>
    <w:rsid w:val="0022445A"/>
    <w:rsid w:val="00227443"/>
    <w:rsid w:val="002321A5"/>
    <w:rsid w:val="002348A5"/>
    <w:rsid w:val="002363CA"/>
    <w:rsid w:val="00236A0B"/>
    <w:rsid w:val="00236AB0"/>
    <w:rsid w:val="00237AEC"/>
    <w:rsid w:val="002438D2"/>
    <w:rsid w:val="00243FF8"/>
    <w:rsid w:val="00246D22"/>
    <w:rsid w:val="00251EB1"/>
    <w:rsid w:val="00252DC4"/>
    <w:rsid w:val="002558FB"/>
    <w:rsid w:val="00262A25"/>
    <w:rsid w:val="002630F7"/>
    <w:rsid w:val="00273404"/>
    <w:rsid w:val="00274276"/>
    <w:rsid w:val="002857BE"/>
    <w:rsid w:val="00286558"/>
    <w:rsid w:val="00286B40"/>
    <w:rsid w:val="00286B5F"/>
    <w:rsid w:val="00290B6F"/>
    <w:rsid w:val="0029168D"/>
    <w:rsid w:val="00292E15"/>
    <w:rsid w:val="00293452"/>
    <w:rsid w:val="002935A9"/>
    <w:rsid w:val="00294F80"/>
    <w:rsid w:val="002A4DD8"/>
    <w:rsid w:val="002A5595"/>
    <w:rsid w:val="002A7577"/>
    <w:rsid w:val="002A777F"/>
    <w:rsid w:val="002B09F1"/>
    <w:rsid w:val="002B0DFC"/>
    <w:rsid w:val="002B35C5"/>
    <w:rsid w:val="002B3E98"/>
    <w:rsid w:val="002B78B0"/>
    <w:rsid w:val="002C378F"/>
    <w:rsid w:val="002C5E1D"/>
    <w:rsid w:val="002D1599"/>
    <w:rsid w:val="002D366C"/>
    <w:rsid w:val="002D4362"/>
    <w:rsid w:val="002E2A6D"/>
    <w:rsid w:val="002E2F5E"/>
    <w:rsid w:val="002F015B"/>
    <w:rsid w:val="002F16B3"/>
    <w:rsid w:val="002F2016"/>
    <w:rsid w:val="002F61E3"/>
    <w:rsid w:val="00305D83"/>
    <w:rsid w:val="00305FDE"/>
    <w:rsid w:val="00311BC1"/>
    <w:rsid w:val="00312FA2"/>
    <w:rsid w:val="003134D3"/>
    <w:rsid w:val="0031487D"/>
    <w:rsid w:val="003154E8"/>
    <w:rsid w:val="00317330"/>
    <w:rsid w:val="00321E89"/>
    <w:rsid w:val="003239B0"/>
    <w:rsid w:val="0032598E"/>
    <w:rsid w:val="003319A7"/>
    <w:rsid w:val="00332825"/>
    <w:rsid w:val="003376F7"/>
    <w:rsid w:val="00340637"/>
    <w:rsid w:val="00340740"/>
    <w:rsid w:val="00340B4E"/>
    <w:rsid w:val="00342DB6"/>
    <w:rsid w:val="00345235"/>
    <w:rsid w:val="003473F4"/>
    <w:rsid w:val="003508EE"/>
    <w:rsid w:val="003563EF"/>
    <w:rsid w:val="00356433"/>
    <w:rsid w:val="00361628"/>
    <w:rsid w:val="0036439B"/>
    <w:rsid w:val="00364771"/>
    <w:rsid w:val="003747B5"/>
    <w:rsid w:val="00376DA1"/>
    <w:rsid w:val="0038047E"/>
    <w:rsid w:val="00383EFB"/>
    <w:rsid w:val="00384141"/>
    <w:rsid w:val="00385904"/>
    <w:rsid w:val="003A0148"/>
    <w:rsid w:val="003A1E91"/>
    <w:rsid w:val="003A33A5"/>
    <w:rsid w:val="003A4FB0"/>
    <w:rsid w:val="003B59EA"/>
    <w:rsid w:val="003B5B30"/>
    <w:rsid w:val="003C09F0"/>
    <w:rsid w:val="003C265E"/>
    <w:rsid w:val="003C2DE3"/>
    <w:rsid w:val="003C40E8"/>
    <w:rsid w:val="003C4C6F"/>
    <w:rsid w:val="003C50CC"/>
    <w:rsid w:val="003D1D42"/>
    <w:rsid w:val="003D34DF"/>
    <w:rsid w:val="003D6EAC"/>
    <w:rsid w:val="003D7308"/>
    <w:rsid w:val="003E09D4"/>
    <w:rsid w:val="003E13A7"/>
    <w:rsid w:val="003E3843"/>
    <w:rsid w:val="003E6AD8"/>
    <w:rsid w:val="003E6F51"/>
    <w:rsid w:val="003F395F"/>
    <w:rsid w:val="003F4811"/>
    <w:rsid w:val="003F5F1A"/>
    <w:rsid w:val="00401A5C"/>
    <w:rsid w:val="00413E91"/>
    <w:rsid w:val="00416C25"/>
    <w:rsid w:val="00416CC9"/>
    <w:rsid w:val="004200FB"/>
    <w:rsid w:val="004204AE"/>
    <w:rsid w:val="00421A4C"/>
    <w:rsid w:val="00425FE8"/>
    <w:rsid w:val="00427E2F"/>
    <w:rsid w:val="00436BA2"/>
    <w:rsid w:val="004406AC"/>
    <w:rsid w:val="00441CD1"/>
    <w:rsid w:val="00454846"/>
    <w:rsid w:val="0045543B"/>
    <w:rsid w:val="0046192D"/>
    <w:rsid w:val="00462131"/>
    <w:rsid w:val="0046330C"/>
    <w:rsid w:val="004634BE"/>
    <w:rsid w:val="00465432"/>
    <w:rsid w:val="0047003F"/>
    <w:rsid w:val="0047163D"/>
    <w:rsid w:val="00474D96"/>
    <w:rsid w:val="00480712"/>
    <w:rsid w:val="00484142"/>
    <w:rsid w:val="00484B9C"/>
    <w:rsid w:val="00491907"/>
    <w:rsid w:val="00491948"/>
    <w:rsid w:val="00492027"/>
    <w:rsid w:val="004A0671"/>
    <w:rsid w:val="004A451E"/>
    <w:rsid w:val="004A5613"/>
    <w:rsid w:val="004A582F"/>
    <w:rsid w:val="004A6E9B"/>
    <w:rsid w:val="004B10A3"/>
    <w:rsid w:val="004B196B"/>
    <w:rsid w:val="004C458B"/>
    <w:rsid w:val="004C63D8"/>
    <w:rsid w:val="004C7846"/>
    <w:rsid w:val="004E1249"/>
    <w:rsid w:val="004E142A"/>
    <w:rsid w:val="004E2A5D"/>
    <w:rsid w:val="004E35D0"/>
    <w:rsid w:val="004E61C2"/>
    <w:rsid w:val="004E7067"/>
    <w:rsid w:val="004F030C"/>
    <w:rsid w:val="004F3D87"/>
    <w:rsid w:val="00500503"/>
    <w:rsid w:val="00502614"/>
    <w:rsid w:val="00504537"/>
    <w:rsid w:val="005063F3"/>
    <w:rsid w:val="0051221A"/>
    <w:rsid w:val="00512724"/>
    <w:rsid w:val="00512A9F"/>
    <w:rsid w:val="00520F5E"/>
    <w:rsid w:val="005237C4"/>
    <w:rsid w:val="0052642A"/>
    <w:rsid w:val="00530892"/>
    <w:rsid w:val="00530CD6"/>
    <w:rsid w:val="00535353"/>
    <w:rsid w:val="00535A2B"/>
    <w:rsid w:val="0053686B"/>
    <w:rsid w:val="00537681"/>
    <w:rsid w:val="00540398"/>
    <w:rsid w:val="005463F4"/>
    <w:rsid w:val="00553CBE"/>
    <w:rsid w:val="00555FBF"/>
    <w:rsid w:val="005665C2"/>
    <w:rsid w:val="00571120"/>
    <w:rsid w:val="00576B27"/>
    <w:rsid w:val="00592B85"/>
    <w:rsid w:val="0059572F"/>
    <w:rsid w:val="005A61CC"/>
    <w:rsid w:val="005A74C3"/>
    <w:rsid w:val="005B212C"/>
    <w:rsid w:val="005B2CCD"/>
    <w:rsid w:val="005B558F"/>
    <w:rsid w:val="005B581D"/>
    <w:rsid w:val="005C08FA"/>
    <w:rsid w:val="005C40F9"/>
    <w:rsid w:val="005C5CFC"/>
    <w:rsid w:val="005C76EE"/>
    <w:rsid w:val="005D217B"/>
    <w:rsid w:val="005D446B"/>
    <w:rsid w:val="005D5F3E"/>
    <w:rsid w:val="005D71D8"/>
    <w:rsid w:val="005E4539"/>
    <w:rsid w:val="005E73B8"/>
    <w:rsid w:val="005F17D4"/>
    <w:rsid w:val="005F1FB3"/>
    <w:rsid w:val="005F2E38"/>
    <w:rsid w:val="005F4A79"/>
    <w:rsid w:val="005F705E"/>
    <w:rsid w:val="005F770C"/>
    <w:rsid w:val="00600D46"/>
    <w:rsid w:val="00604806"/>
    <w:rsid w:val="0060730E"/>
    <w:rsid w:val="00614279"/>
    <w:rsid w:val="00620CC5"/>
    <w:rsid w:val="006221E1"/>
    <w:rsid w:val="0063019F"/>
    <w:rsid w:val="0063517A"/>
    <w:rsid w:val="0064458E"/>
    <w:rsid w:val="00644BDC"/>
    <w:rsid w:val="0064574F"/>
    <w:rsid w:val="006465C5"/>
    <w:rsid w:val="00654846"/>
    <w:rsid w:val="006577D7"/>
    <w:rsid w:val="00657E5B"/>
    <w:rsid w:val="00660F73"/>
    <w:rsid w:val="0066317C"/>
    <w:rsid w:val="006639C7"/>
    <w:rsid w:val="00667D54"/>
    <w:rsid w:val="00675E10"/>
    <w:rsid w:val="00685808"/>
    <w:rsid w:val="00691E1A"/>
    <w:rsid w:val="00695A6D"/>
    <w:rsid w:val="00697F28"/>
    <w:rsid w:val="006A3547"/>
    <w:rsid w:val="006A3A6B"/>
    <w:rsid w:val="006A3B11"/>
    <w:rsid w:val="006A50BC"/>
    <w:rsid w:val="006B1D63"/>
    <w:rsid w:val="006B60DD"/>
    <w:rsid w:val="006C5A7D"/>
    <w:rsid w:val="006C704A"/>
    <w:rsid w:val="006D3AD0"/>
    <w:rsid w:val="006D7744"/>
    <w:rsid w:val="006E3B26"/>
    <w:rsid w:val="006E5368"/>
    <w:rsid w:val="006E5C27"/>
    <w:rsid w:val="006F336C"/>
    <w:rsid w:val="006F4CE9"/>
    <w:rsid w:val="00700924"/>
    <w:rsid w:val="007017B0"/>
    <w:rsid w:val="0070218E"/>
    <w:rsid w:val="007065A1"/>
    <w:rsid w:val="007135EE"/>
    <w:rsid w:val="007150E1"/>
    <w:rsid w:val="00722B80"/>
    <w:rsid w:val="00722DD1"/>
    <w:rsid w:val="0074468A"/>
    <w:rsid w:val="00756A0C"/>
    <w:rsid w:val="00757661"/>
    <w:rsid w:val="00760E2D"/>
    <w:rsid w:val="00774A2B"/>
    <w:rsid w:val="007755F6"/>
    <w:rsid w:val="00780CCE"/>
    <w:rsid w:val="00781A63"/>
    <w:rsid w:val="00783765"/>
    <w:rsid w:val="007862BD"/>
    <w:rsid w:val="007870BA"/>
    <w:rsid w:val="007902F3"/>
    <w:rsid w:val="00790ED1"/>
    <w:rsid w:val="00793514"/>
    <w:rsid w:val="00795394"/>
    <w:rsid w:val="00795F45"/>
    <w:rsid w:val="00797252"/>
    <w:rsid w:val="007977D0"/>
    <w:rsid w:val="007A0040"/>
    <w:rsid w:val="007A040E"/>
    <w:rsid w:val="007A2C34"/>
    <w:rsid w:val="007A7335"/>
    <w:rsid w:val="007B455D"/>
    <w:rsid w:val="007C06B0"/>
    <w:rsid w:val="007C3596"/>
    <w:rsid w:val="007C479E"/>
    <w:rsid w:val="007C534A"/>
    <w:rsid w:val="007C689D"/>
    <w:rsid w:val="007D12C5"/>
    <w:rsid w:val="007D14A8"/>
    <w:rsid w:val="007E128E"/>
    <w:rsid w:val="007E2299"/>
    <w:rsid w:val="007E4176"/>
    <w:rsid w:val="007F16BD"/>
    <w:rsid w:val="007F2F12"/>
    <w:rsid w:val="007F63B9"/>
    <w:rsid w:val="007F6E51"/>
    <w:rsid w:val="00801B02"/>
    <w:rsid w:val="00804A8E"/>
    <w:rsid w:val="00806AA8"/>
    <w:rsid w:val="00812FF0"/>
    <w:rsid w:val="00815043"/>
    <w:rsid w:val="008157CF"/>
    <w:rsid w:val="00820D75"/>
    <w:rsid w:val="00821688"/>
    <w:rsid w:val="008219AB"/>
    <w:rsid w:val="0082467E"/>
    <w:rsid w:val="008271F6"/>
    <w:rsid w:val="00832281"/>
    <w:rsid w:val="00832A42"/>
    <w:rsid w:val="0083319A"/>
    <w:rsid w:val="00833649"/>
    <w:rsid w:val="0084009D"/>
    <w:rsid w:val="008476AE"/>
    <w:rsid w:val="0086294F"/>
    <w:rsid w:val="008642DB"/>
    <w:rsid w:val="00864F61"/>
    <w:rsid w:val="008667F9"/>
    <w:rsid w:val="008714D7"/>
    <w:rsid w:val="00875906"/>
    <w:rsid w:val="00876A95"/>
    <w:rsid w:val="00883771"/>
    <w:rsid w:val="0088673E"/>
    <w:rsid w:val="00886D9E"/>
    <w:rsid w:val="0089089A"/>
    <w:rsid w:val="00894D34"/>
    <w:rsid w:val="008A4467"/>
    <w:rsid w:val="008A7FFE"/>
    <w:rsid w:val="008B06DE"/>
    <w:rsid w:val="008B10F9"/>
    <w:rsid w:val="008B64BE"/>
    <w:rsid w:val="008B6B8E"/>
    <w:rsid w:val="008B6F95"/>
    <w:rsid w:val="008C0D2B"/>
    <w:rsid w:val="008C23E6"/>
    <w:rsid w:val="008C44B6"/>
    <w:rsid w:val="008C4CD7"/>
    <w:rsid w:val="008C57F6"/>
    <w:rsid w:val="008C6567"/>
    <w:rsid w:val="008D5528"/>
    <w:rsid w:val="008D7EAD"/>
    <w:rsid w:val="008E212F"/>
    <w:rsid w:val="008E5BE5"/>
    <w:rsid w:val="008F58B8"/>
    <w:rsid w:val="008F6B36"/>
    <w:rsid w:val="009008DD"/>
    <w:rsid w:val="009024B4"/>
    <w:rsid w:val="0090334E"/>
    <w:rsid w:val="009037AF"/>
    <w:rsid w:val="0090427C"/>
    <w:rsid w:val="00910237"/>
    <w:rsid w:val="0091203A"/>
    <w:rsid w:val="00912B18"/>
    <w:rsid w:val="00913DE9"/>
    <w:rsid w:val="00915698"/>
    <w:rsid w:val="00920535"/>
    <w:rsid w:val="00922A6D"/>
    <w:rsid w:val="009242EA"/>
    <w:rsid w:val="0092555A"/>
    <w:rsid w:val="009255C2"/>
    <w:rsid w:val="00925E5C"/>
    <w:rsid w:val="00927A0D"/>
    <w:rsid w:val="00927EF0"/>
    <w:rsid w:val="0093251D"/>
    <w:rsid w:val="00933C83"/>
    <w:rsid w:val="009351FC"/>
    <w:rsid w:val="00936542"/>
    <w:rsid w:val="009376EA"/>
    <w:rsid w:val="00937943"/>
    <w:rsid w:val="00940447"/>
    <w:rsid w:val="009408A6"/>
    <w:rsid w:val="00941C32"/>
    <w:rsid w:val="00944330"/>
    <w:rsid w:val="0094446C"/>
    <w:rsid w:val="0094577A"/>
    <w:rsid w:val="009459C3"/>
    <w:rsid w:val="0095190E"/>
    <w:rsid w:val="00952158"/>
    <w:rsid w:val="00952ED0"/>
    <w:rsid w:val="009558E7"/>
    <w:rsid w:val="009615F7"/>
    <w:rsid w:val="0096439D"/>
    <w:rsid w:val="009679F7"/>
    <w:rsid w:val="00972224"/>
    <w:rsid w:val="0098369B"/>
    <w:rsid w:val="00990086"/>
    <w:rsid w:val="009939EF"/>
    <w:rsid w:val="00994DC4"/>
    <w:rsid w:val="00995739"/>
    <w:rsid w:val="009A1012"/>
    <w:rsid w:val="009A10B6"/>
    <w:rsid w:val="009A2CBA"/>
    <w:rsid w:val="009B2454"/>
    <w:rsid w:val="009B472E"/>
    <w:rsid w:val="009B53D8"/>
    <w:rsid w:val="009B7504"/>
    <w:rsid w:val="009C4A92"/>
    <w:rsid w:val="009C6254"/>
    <w:rsid w:val="009C6CE8"/>
    <w:rsid w:val="009C6F42"/>
    <w:rsid w:val="009D4AA9"/>
    <w:rsid w:val="009D71A1"/>
    <w:rsid w:val="009E1F25"/>
    <w:rsid w:val="009E2A70"/>
    <w:rsid w:val="009E489B"/>
    <w:rsid w:val="009F3168"/>
    <w:rsid w:val="009F3454"/>
    <w:rsid w:val="009F4440"/>
    <w:rsid w:val="00A0246B"/>
    <w:rsid w:val="00A03908"/>
    <w:rsid w:val="00A05724"/>
    <w:rsid w:val="00A11C23"/>
    <w:rsid w:val="00A17D94"/>
    <w:rsid w:val="00A2092B"/>
    <w:rsid w:val="00A23BA0"/>
    <w:rsid w:val="00A24F93"/>
    <w:rsid w:val="00A25028"/>
    <w:rsid w:val="00A314FA"/>
    <w:rsid w:val="00A3799B"/>
    <w:rsid w:val="00A413D5"/>
    <w:rsid w:val="00A47BAD"/>
    <w:rsid w:val="00A47D5F"/>
    <w:rsid w:val="00A52844"/>
    <w:rsid w:val="00A52BEC"/>
    <w:rsid w:val="00A57777"/>
    <w:rsid w:val="00A57E0F"/>
    <w:rsid w:val="00A82F6F"/>
    <w:rsid w:val="00A862A4"/>
    <w:rsid w:val="00A903BC"/>
    <w:rsid w:val="00A92BA2"/>
    <w:rsid w:val="00A9360E"/>
    <w:rsid w:val="00A973D9"/>
    <w:rsid w:val="00AA1C3B"/>
    <w:rsid w:val="00AA20DC"/>
    <w:rsid w:val="00AA2435"/>
    <w:rsid w:val="00AA49B9"/>
    <w:rsid w:val="00AB392A"/>
    <w:rsid w:val="00AB6124"/>
    <w:rsid w:val="00AB759F"/>
    <w:rsid w:val="00AB7A77"/>
    <w:rsid w:val="00AC25D8"/>
    <w:rsid w:val="00AC4FD0"/>
    <w:rsid w:val="00AC560D"/>
    <w:rsid w:val="00AD19E4"/>
    <w:rsid w:val="00AD319B"/>
    <w:rsid w:val="00AD3673"/>
    <w:rsid w:val="00AD4A48"/>
    <w:rsid w:val="00AE082C"/>
    <w:rsid w:val="00AE0C03"/>
    <w:rsid w:val="00AE36D0"/>
    <w:rsid w:val="00AE40E2"/>
    <w:rsid w:val="00AE4928"/>
    <w:rsid w:val="00AE4CE1"/>
    <w:rsid w:val="00AF0CA4"/>
    <w:rsid w:val="00AF4CC5"/>
    <w:rsid w:val="00B02CB3"/>
    <w:rsid w:val="00B04E9C"/>
    <w:rsid w:val="00B102F7"/>
    <w:rsid w:val="00B11BE8"/>
    <w:rsid w:val="00B1354A"/>
    <w:rsid w:val="00B14506"/>
    <w:rsid w:val="00B22750"/>
    <w:rsid w:val="00B228D4"/>
    <w:rsid w:val="00B231A5"/>
    <w:rsid w:val="00B33726"/>
    <w:rsid w:val="00B34CB8"/>
    <w:rsid w:val="00B36BD2"/>
    <w:rsid w:val="00B40CCF"/>
    <w:rsid w:val="00B40FA6"/>
    <w:rsid w:val="00B43413"/>
    <w:rsid w:val="00B51F07"/>
    <w:rsid w:val="00B55AA9"/>
    <w:rsid w:val="00B576FB"/>
    <w:rsid w:val="00B605B3"/>
    <w:rsid w:val="00B6409D"/>
    <w:rsid w:val="00B65A78"/>
    <w:rsid w:val="00B665B0"/>
    <w:rsid w:val="00B70EED"/>
    <w:rsid w:val="00B7209C"/>
    <w:rsid w:val="00B754FE"/>
    <w:rsid w:val="00B75D21"/>
    <w:rsid w:val="00B82AFD"/>
    <w:rsid w:val="00B82F44"/>
    <w:rsid w:val="00B854DA"/>
    <w:rsid w:val="00B901A9"/>
    <w:rsid w:val="00B92C29"/>
    <w:rsid w:val="00B94BF6"/>
    <w:rsid w:val="00B94EB0"/>
    <w:rsid w:val="00BA2CBC"/>
    <w:rsid w:val="00BA5910"/>
    <w:rsid w:val="00BA7E0B"/>
    <w:rsid w:val="00BB3CE8"/>
    <w:rsid w:val="00BB43FD"/>
    <w:rsid w:val="00BC3E94"/>
    <w:rsid w:val="00BC3ED9"/>
    <w:rsid w:val="00BC4B4F"/>
    <w:rsid w:val="00BC5032"/>
    <w:rsid w:val="00BC59CC"/>
    <w:rsid w:val="00BD0579"/>
    <w:rsid w:val="00BD1D69"/>
    <w:rsid w:val="00BD42D8"/>
    <w:rsid w:val="00BD45AE"/>
    <w:rsid w:val="00BE7523"/>
    <w:rsid w:val="00BE7E71"/>
    <w:rsid w:val="00BF06EC"/>
    <w:rsid w:val="00BF09D3"/>
    <w:rsid w:val="00BF5744"/>
    <w:rsid w:val="00BF5A88"/>
    <w:rsid w:val="00C00519"/>
    <w:rsid w:val="00C014A9"/>
    <w:rsid w:val="00C02420"/>
    <w:rsid w:val="00C04971"/>
    <w:rsid w:val="00C0615F"/>
    <w:rsid w:val="00C10CCD"/>
    <w:rsid w:val="00C10E53"/>
    <w:rsid w:val="00C10FB4"/>
    <w:rsid w:val="00C15A97"/>
    <w:rsid w:val="00C16757"/>
    <w:rsid w:val="00C17A11"/>
    <w:rsid w:val="00C20A49"/>
    <w:rsid w:val="00C22965"/>
    <w:rsid w:val="00C25BD9"/>
    <w:rsid w:val="00C41104"/>
    <w:rsid w:val="00C41134"/>
    <w:rsid w:val="00C42CAD"/>
    <w:rsid w:val="00C4400E"/>
    <w:rsid w:val="00C44575"/>
    <w:rsid w:val="00C46B9E"/>
    <w:rsid w:val="00C5163E"/>
    <w:rsid w:val="00C527C3"/>
    <w:rsid w:val="00C552DE"/>
    <w:rsid w:val="00C55BAE"/>
    <w:rsid w:val="00C609C2"/>
    <w:rsid w:val="00C60ABB"/>
    <w:rsid w:val="00C613B0"/>
    <w:rsid w:val="00C666BD"/>
    <w:rsid w:val="00C71560"/>
    <w:rsid w:val="00C80F74"/>
    <w:rsid w:val="00C84E54"/>
    <w:rsid w:val="00C8621F"/>
    <w:rsid w:val="00C906E0"/>
    <w:rsid w:val="00C959A0"/>
    <w:rsid w:val="00CA1872"/>
    <w:rsid w:val="00CA1D5A"/>
    <w:rsid w:val="00CA5910"/>
    <w:rsid w:val="00CA5EE6"/>
    <w:rsid w:val="00CA6A88"/>
    <w:rsid w:val="00CB0D76"/>
    <w:rsid w:val="00CB169A"/>
    <w:rsid w:val="00CB18D5"/>
    <w:rsid w:val="00CB393B"/>
    <w:rsid w:val="00CD02EB"/>
    <w:rsid w:val="00CF0F17"/>
    <w:rsid w:val="00CF2384"/>
    <w:rsid w:val="00CF2A48"/>
    <w:rsid w:val="00CF2DBD"/>
    <w:rsid w:val="00CF37B7"/>
    <w:rsid w:val="00CF7C33"/>
    <w:rsid w:val="00D025A9"/>
    <w:rsid w:val="00D11596"/>
    <w:rsid w:val="00D15049"/>
    <w:rsid w:val="00D17EF8"/>
    <w:rsid w:val="00D255AC"/>
    <w:rsid w:val="00D318BB"/>
    <w:rsid w:val="00D31E05"/>
    <w:rsid w:val="00D35E4B"/>
    <w:rsid w:val="00D42313"/>
    <w:rsid w:val="00D45220"/>
    <w:rsid w:val="00D45FC8"/>
    <w:rsid w:val="00D500CC"/>
    <w:rsid w:val="00D51EF8"/>
    <w:rsid w:val="00D532DF"/>
    <w:rsid w:val="00D550EA"/>
    <w:rsid w:val="00D5683A"/>
    <w:rsid w:val="00D6075F"/>
    <w:rsid w:val="00D64A8A"/>
    <w:rsid w:val="00D64ACA"/>
    <w:rsid w:val="00D72E5C"/>
    <w:rsid w:val="00D74A8F"/>
    <w:rsid w:val="00D76989"/>
    <w:rsid w:val="00D8155F"/>
    <w:rsid w:val="00D83830"/>
    <w:rsid w:val="00D8408A"/>
    <w:rsid w:val="00D85984"/>
    <w:rsid w:val="00D8641A"/>
    <w:rsid w:val="00D92897"/>
    <w:rsid w:val="00D9374F"/>
    <w:rsid w:val="00D96664"/>
    <w:rsid w:val="00D9771C"/>
    <w:rsid w:val="00D97BF8"/>
    <w:rsid w:val="00DA0331"/>
    <w:rsid w:val="00DA399C"/>
    <w:rsid w:val="00DA43F1"/>
    <w:rsid w:val="00DA5E85"/>
    <w:rsid w:val="00DB01F6"/>
    <w:rsid w:val="00DB1B72"/>
    <w:rsid w:val="00DD18B8"/>
    <w:rsid w:val="00DD3ECB"/>
    <w:rsid w:val="00DD5BF9"/>
    <w:rsid w:val="00DD6729"/>
    <w:rsid w:val="00DD760C"/>
    <w:rsid w:val="00DE0FB7"/>
    <w:rsid w:val="00DE3DD6"/>
    <w:rsid w:val="00DE4100"/>
    <w:rsid w:val="00DE517B"/>
    <w:rsid w:val="00DE52F2"/>
    <w:rsid w:val="00DE5A5D"/>
    <w:rsid w:val="00DF072F"/>
    <w:rsid w:val="00DF0B84"/>
    <w:rsid w:val="00DF255F"/>
    <w:rsid w:val="00DF4C21"/>
    <w:rsid w:val="00E07E81"/>
    <w:rsid w:val="00E10E84"/>
    <w:rsid w:val="00E1125C"/>
    <w:rsid w:val="00E16D83"/>
    <w:rsid w:val="00E17AA2"/>
    <w:rsid w:val="00E253BD"/>
    <w:rsid w:val="00E267AB"/>
    <w:rsid w:val="00E27BF3"/>
    <w:rsid w:val="00E30C2C"/>
    <w:rsid w:val="00E311DC"/>
    <w:rsid w:val="00E31752"/>
    <w:rsid w:val="00E3534A"/>
    <w:rsid w:val="00E4082C"/>
    <w:rsid w:val="00E4444A"/>
    <w:rsid w:val="00E44DA1"/>
    <w:rsid w:val="00E46C87"/>
    <w:rsid w:val="00E576B4"/>
    <w:rsid w:val="00E62413"/>
    <w:rsid w:val="00E64091"/>
    <w:rsid w:val="00E66470"/>
    <w:rsid w:val="00E67C64"/>
    <w:rsid w:val="00E71BDF"/>
    <w:rsid w:val="00E8267C"/>
    <w:rsid w:val="00E86BD7"/>
    <w:rsid w:val="00E901CE"/>
    <w:rsid w:val="00E93A85"/>
    <w:rsid w:val="00E95DE1"/>
    <w:rsid w:val="00E97E26"/>
    <w:rsid w:val="00EA0931"/>
    <w:rsid w:val="00EA1B72"/>
    <w:rsid w:val="00EA3A1A"/>
    <w:rsid w:val="00EA49A8"/>
    <w:rsid w:val="00EA4F51"/>
    <w:rsid w:val="00EB0314"/>
    <w:rsid w:val="00EB2DD7"/>
    <w:rsid w:val="00EB56F6"/>
    <w:rsid w:val="00EB61E2"/>
    <w:rsid w:val="00EC0471"/>
    <w:rsid w:val="00EC3C0E"/>
    <w:rsid w:val="00EC539A"/>
    <w:rsid w:val="00ED39C3"/>
    <w:rsid w:val="00EE41E2"/>
    <w:rsid w:val="00EF1906"/>
    <w:rsid w:val="00EF1953"/>
    <w:rsid w:val="00EF2D9E"/>
    <w:rsid w:val="00EF30B1"/>
    <w:rsid w:val="00EF3BC8"/>
    <w:rsid w:val="00EF7F7D"/>
    <w:rsid w:val="00F003DC"/>
    <w:rsid w:val="00F00476"/>
    <w:rsid w:val="00F012AB"/>
    <w:rsid w:val="00F023FE"/>
    <w:rsid w:val="00F054FC"/>
    <w:rsid w:val="00F06E3E"/>
    <w:rsid w:val="00F07308"/>
    <w:rsid w:val="00F0773C"/>
    <w:rsid w:val="00F10ABD"/>
    <w:rsid w:val="00F10E90"/>
    <w:rsid w:val="00F1558B"/>
    <w:rsid w:val="00F15B84"/>
    <w:rsid w:val="00F16CBD"/>
    <w:rsid w:val="00F17078"/>
    <w:rsid w:val="00F21394"/>
    <w:rsid w:val="00F3234E"/>
    <w:rsid w:val="00F33F66"/>
    <w:rsid w:val="00F372CE"/>
    <w:rsid w:val="00F419B2"/>
    <w:rsid w:val="00F4233A"/>
    <w:rsid w:val="00F42B22"/>
    <w:rsid w:val="00F43272"/>
    <w:rsid w:val="00F45EBD"/>
    <w:rsid w:val="00F50B67"/>
    <w:rsid w:val="00F52831"/>
    <w:rsid w:val="00F53B73"/>
    <w:rsid w:val="00F53D3E"/>
    <w:rsid w:val="00F56C3E"/>
    <w:rsid w:val="00F60C95"/>
    <w:rsid w:val="00F61714"/>
    <w:rsid w:val="00F6434D"/>
    <w:rsid w:val="00F7015E"/>
    <w:rsid w:val="00F7297C"/>
    <w:rsid w:val="00F73B56"/>
    <w:rsid w:val="00F777FA"/>
    <w:rsid w:val="00F77D99"/>
    <w:rsid w:val="00F820A6"/>
    <w:rsid w:val="00F828AE"/>
    <w:rsid w:val="00F83282"/>
    <w:rsid w:val="00F8540B"/>
    <w:rsid w:val="00F85ED6"/>
    <w:rsid w:val="00F91098"/>
    <w:rsid w:val="00F9398C"/>
    <w:rsid w:val="00F9535D"/>
    <w:rsid w:val="00F97BF7"/>
    <w:rsid w:val="00FA0D68"/>
    <w:rsid w:val="00FA2710"/>
    <w:rsid w:val="00FA5090"/>
    <w:rsid w:val="00FA7229"/>
    <w:rsid w:val="00FA7F61"/>
    <w:rsid w:val="00FB554A"/>
    <w:rsid w:val="00FB588A"/>
    <w:rsid w:val="00FC0694"/>
    <w:rsid w:val="00FC470A"/>
    <w:rsid w:val="00FC6F29"/>
    <w:rsid w:val="00FD1341"/>
    <w:rsid w:val="00FD2F47"/>
    <w:rsid w:val="00FE363C"/>
    <w:rsid w:val="00FE3AE2"/>
    <w:rsid w:val="00FF1E9C"/>
    <w:rsid w:val="00FF6A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0"/>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0"/>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qFormat="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A4BA4"/>
  </w:style>
  <w:style w:type="paragraph" w:styleId="Heading1">
    <w:name w:val="heading 1"/>
    <w:basedOn w:val="Normal"/>
    <w:next w:val="BodyText"/>
    <w:link w:val="Heading1Char"/>
    <w:uiPriority w:val="9"/>
    <w:qFormat/>
    <w:rsid w:val="009A2CBA"/>
    <w:pPr>
      <w:keepNext/>
      <w:spacing w:after="240"/>
      <w:outlineLvl w:val="0"/>
    </w:pPr>
    <w:rPr>
      <w:rFonts w:eastAsiaTheme="majorEastAsia" w:cstheme="majorBidi"/>
      <w:b/>
      <w:bCs/>
      <w:szCs w:val="28"/>
    </w:rPr>
  </w:style>
  <w:style w:type="paragraph" w:styleId="Heading2">
    <w:name w:val="heading 2"/>
    <w:basedOn w:val="Normal"/>
    <w:next w:val="BodyText"/>
    <w:link w:val="Heading2Char"/>
    <w:uiPriority w:val="9"/>
    <w:semiHidden/>
    <w:unhideWhenUsed/>
    <w:qFormat/>
    <w:rsid w:val="009A2CBA"/>
    <w:pPr>
      <w:keepNext/>
      <w:spacing w:after="240"/>
      <w:outlineLvl w:val="1"/>
    </w:pPr>
    <w:rPr>
      <w:rFonts w:eastAsiaTheme="majorEastAsia" w:cstheme="majorBidi"/>
      <w:b/>
      <w:bCs/>
      <w:szCs w:val="26"/>
    </w:rPr>
  </w:style>
  <w:style w:type="paragraph" w:styleId="Heading3">
    <w:name w:val="heading 3"/>
    <w:basedOn w:val="Normal"/>
    <w:next w:val="BodyText"/>
    <w:link w:val="Heading3Char"/>
    <w:uiPriority w:val="9"/>
    <w:semiHidden/>
    <w:unhideWhenUsed/>
    <w:qFormat/>
    <w:rsid w:val="009A2CBA"/>
    <w:pPr>
      <w:keepNext/>
      <w:keepLines/>
      <w:spacing w:after="240"/>
      <w:outlineLvl w:val="2"/>
    </w:pPr>
    <w:rPr>
      <w:rFonts w:eastAsiaTheme="majorEastAsia" w:cstheme="majorBidi"/>
      <w:b/>
      <w:bCs/>
    </w:rPr>
  </w:style>
  <w:style w:type="paragraph" w:styleId="Heading4">
    <w:name w:val="heading 4"/>
    <w:basedOn w:val="Normal"/>
    <w:next w:val="BodyText"/>
    <w:link w:val="Heading4Char"/>
    <w:uiPriority w:val="9"/>
    <w:semiHidden/>
    <w:unhideWhenUsed/>
    <w:qFormat/>
    <w:rsid w:val="009A2CBA"/>
    <w:pPr>
      <w:keepNext/>
      <w:keepLines/>
      <w:spacing w:after="240"/>
      <w:outlineLvl w:val="3"/>
    </w:pPr>
    <w:rPr>
      <w:rFonts w:eastAsiaTheme="majorEastAsia" w:cstheme="majorBidi"/>
      <w:bCs/>
      <w:iCs/>
    </w:rPr>
  </w:style>
  <w:style w:type="paragraph" w:styleId="Heading5">
    <w:name w:val="heading 5"/>
    <w:basedOn w:val="Normal"/>
    <w:next w:val="BodyText"/>
    <w:link w:val="Heading5Char"/>
    <w:uiPriority w:val="9"/>
    <w:semiHidden/>
    <w:unhideWhenUsed/>
    <w:qFormat/>
    <w:rsid w:val="009A2CBA"/>
    <w:pPr>
      <w:keepNext/>
      <w:keepLines/>
      <w:spacing w:after="240"/>
      <w:outlineLvl w:val="4"/>
    </w:pPr>
    <w:rPr>
      <w:rFonts w:eastAsiaTheme="majorEastAsia" w:cstheme="majorBidi"/>
    </w:rPr>
  </w:style>
  <w:style w:type="paragraph" w:styleId="Heading6">
    <w:name w:val="heading 6"/>
    <w:basedOn w:val="Normal"/>
    <w:next w:val="BodyText"/>
    <w:link w:val="Heading6Char"/>
    <w:uiPriority w:val="9"/>
    <w:semiHidden/>
    <w:unhideWhenUsed/>
    <w:qFormat/>
    <w:rsid w:val="009A2CBA"/>
    <w:pPr>
      <w:keepNext/>
      <w:keepLines/>
      <w:spacing w:after="240"/>
      <w:outlineLvl w:val="5"/>
    </w:pPr>
    <w:rPr>
      <w:rFonts w:eastAsiaTheme="majorEastAsia" w:cstheme="majorBidi"/>
      <w:iCs/>
    </w:rPr>
  </w:style>
  <w:style w:type="paragraph" w:styleId="Heading7">
    <w:name w:val="heading 7"/>
    <w:basedOn w:val="Normal"/>
    <w:next w:val="BodyText"/>
    <w:link w:val="Heading7Char"/>
    <w:uiPriority w:val="9"/>
    <w:semiHidden/>
    <w:unhideWhenUsed/>
    <w:qFormat/>
    <w:rsid w:val="009A2CBA"/>
    <w:pPr>
      <w:keepNext/>
      <w:keepLines/>
      <w:spacing w:after="240"/>
      <w:outlineLvl w:val="6"/>
    </w:pPr>
    <w:rPr>
      <w:rFonts w:eastAsiaTheme="majorEastAsia" w:cstheme="majorBidi"/>
      <w:iCs/>
    </w:rPr>
  </w:style>
  <w:style w:type="paragraph" w:styleId="Heading8">
    <w:name w:val="heading 8"/>
    <w:basedOn w:val="Normal"/>
    <w:next w:val="BodyText"/>
    <w:link w:val="Heading8Char"/>
    <w:uiPriority w:val="9"/>
    <w:semiHidden/>
    <w:unhideWhenUsed/>
    <w:qFormat/>
    <w:rsid w:val="009A2CBA"/>
    <w:pPr>
      <w:keepNext/>
      <w:keepLines/>
      <w:spacing w:after="240"/>
      <w:outlineLvl w:val="7"/>
    </w:pPr>
    <w:rPr>
      <w:rFonts w:eastAsiaTheme="majorEastAsia" w:cstheme="majorBidi"/>
      <w:szCs w:val="20"/>
    </w:rPr>
  </w:style>
  <w:style w:type="paragraph" w:styleId="Heading9">
    <w:name w:val="heading 9"/>
    <w:basedOn w:val="Normal"/>
    <w:next w:val="BodyText"/>
    <w:link w:val="Heading9Char"/>
    <w:uiPriority w:val="9"/>
    <w:semiHidden/>
    <w:unhideWhenUsed/>
    <w:qFormat/>
    <w:rsid w:val="009A2CBA"/>
    <w:pPr>
      <w:keepNext/>
      <w:keepLines/>
      <w:spacing w:after="240"/>
      <w:outlineLvl w:val="8"/>
    </w:pPr>
    <w:rPr>
      <w:rFonts w:eastAsiaTheme="majorEastAsia" w:cstheme="majorBidi"/>
      <w:iCs/>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340740"/>
    <w:pPr>
      <w:spacing w:after="240"/>
      <w:ind w:firstLine="720"/>
    </w:pPr>
  </w:style>
  <w:style w:type="character" w:customStyle="1" w:styleId="BodyTextChar">
    <w:name w:val="Body Text Char"/>
    <w:basedOn w:val="DefaultParagraphFont"/>
    <w:link w:val="BodyText"/>
    <w:rsid w:val="00340740"/>
  </w:style>
  <w:style w:type="character" w:customStyle="1" w:styleId="Heading1Char">
    <w:name w:val="Heading 1 Char"/>
    <w:basedOn w:val="DefaultParagraphFont"/>
    <w:link w:val="Heading1"/>
    <w:uiPriority w:val="9"/>
    <w:rsid w:val="009A2CBA"/>
    <w:rPr>
      <w:rFonts w:eastAsiaTheme="majorEastAsia" w:cstheme="majorBidi"/>
      <w:b/>
      <w:bCs/>
      <w:szCs w:val="28"/>
    </w:rPr>
  </w:style>
  <w:style w:type="character" w:customStyle="1" w:styleId="Heading2Char">
    <w:name w:val="Heading 2 Char"/>
    <w:basedOn w:val="DefaultParagraphFont"/>
    <w:link w:val="Heading2"/>
    <w:uiPriority w:val="9"/>
    <w:semiHidden/>
    <w:rsid w:val="009A2CBA"/>
    <w:rPr>
      <w:rFonts w:eastAsiaTheme="majorEastAsia" w:cstheme="majorBidi"/>
      <w:b/>
      <w:bCs/>
      <w:szCs w:val="26"/>
    </w:rPr>
  </w:style>
  <w:style w:type="character" w:customStyle="1" w:styleId="Heading3Char">
    <w:name w:val="Heading 3 Char"/>
    <w:basedOn w:val="DefaultParagraphFont"/>
    <w:link w:val="Heading3"/>
    <w:uiPriority w:val="9"/>
    <w:semiHidden/>
    <w:rsid w:val="009A2CBA"/>
    <w:rPr>
      <w:rFonts w:eastAsiaTheme="majorEastAsia" w:cstheme="majorBidi"/>
      <w:b/>
      <w:bCs/>
    </w:rPr>
  </w:style>
  <w:style w:type="character" w:customStyle="1" w:styleId="Heading4Char">
    <w:name w:val="Heading 4 Char"/>
    <w:basedOn w:val="DefaultParagraphFont"/>
    <w:link w:val="Heading4"/>
    <w:uiPriority w:val="9"/>
    <w:semiHidden/>
    <w:rsid w:val="009A2CBA"/>
    <w:rPr>
      <w:rFonts w:eastAsiaTheme="majorEastAsia" w:cstheme="majorBidi"/>
      <w:bCs/>
      <w:iCs/>
    </w:rPr>
  </w:style>
  <w:style w:type="character" w:customStyle="1" w:styleId="Heading5Char">
    <w:name w:val="Heading 5 Char"/>
    <w:basedOn w:val="DefaultParagraphFont"/>
    <w:link w:val="Heading5"/>
    <w:uiPriority w:val="9"/>
    <w:semiHidden/>
    <w:rsid w:val="009A2CBA"/>
    <w:rPr>
      <w:rFonts w:eastAsiaTheme="majorEastAsia" w:cstheme="majorBidi"/>
    </w:rPr>
  </w:style>
  <w:style w:type="character" w:customStyle="1" w:styleId="Heading6Char">
    <w:name w:val="Heading 6 Char"/>
    <w:basedOn w:val="DefaultParagraphFont"/>
    <w:link w:val="Heading6"/>
    <w:uiPriority w:val="9"/>
    <w:semiHidden/>
    <w:rsid w:val="009A2CBA"/>
    <w:rPr>
      <w:rFonts w:eastAsiaTheme="majorEastAsia" w:cstheme="majorBidi"/>
      <w:iCs/>
    </w:rPr>
  </w:style>
  <w:style w:type="character" w:customStyle="1" w:styleId="Heading7Char">
    <w:name w:val="Heading 7 Char"/>
    <w:basedOn w:val="DefaultParagraphFont"/>
    <w:link w:val="Heading7"/>
    <w:uiPriority w:val="9"/>
    <w:semiHidden/>
    <w:rsid w:val="009A2CBA"/>
    <w:rPr>
      <w:rFonts w:eastAsiaTheme="majorEastAsia" w:cstheme="majorBidi"/>
      <w:iCs/>
    </w:rPr>
  </w:style>
  <w:style w:type="character" w:customStyle="1" w:styleId="Heading8Char">
    <w:name w:val="Heading 8 Char"/>
    <w:basedOn w:val="DefaultParagraphFont"/>
    <w:link w:val="Heading8"/>
    <w:uiPriority w:val="9"/>
    <w:semiHidden/>
    <w:rsid w:val="009A2CBA"/>
    <w:rPr>
      <w:rFonts w:eastAsiaTheme="majorEastAsia" w:cstheme="majorBidi"/>
      <w:szCs w:val="20"/>
    </w:rPr>
  </w:style>
  <w:style w:type="character" w:customStyle="1" w:styleId="Heading9Char">
    <w:name w:val="Heading 9 Char"/>
    <w:basedOn w:val="DefaultParagraphFont"/>
    <w:link w:val="Heading9"/>
    <w:uiPriority w:val="9"/>
    <w:semiHidden/>
    <w:rsid w:val="009A2CBA"/>
    <w:rPr>
      <w:rFonts w:eastAsiaTheme="majorEastAsia" w:cstheme="majorBidi"/>
      <w:iCs/>
      <w:szCs w:val="20"/>
    </w:rPr>
  </w:style>
  <w:style w:type="paragraph" w:styleId="BlockText">
    <w:name w:val="Block Text"/>
    <w:basedOn w:val="Normal"/>
    <w:qFormat/>
    <w:rsid w:val="00F9535D"/>
    <w:pPr>
      <w:jc w:val="both"/>
    </w:pPr>
    <w:rPr>
      <w:rFonts w:eastAsiaTheme="minorEastAsia"/>
      <w:iCs/>
    </w:rPr>
  </w:style>
  <w:style w:type="paragraph" w:styleId="BodyText2">
    <w:name w:val="Body Text 2"/>
    <w:basedOn w:val="Normal"/>
    <w:link w:val="BodyText2Char"/>
    <w:rsid w:val="00E3534A"/>
    <w:pPr>
      <w:spacing w:line="480" w:lineRule="auto"/>
      <w:ind w:firstLine="720"/>
    </w:pPr>
  </w:style>
  <w:style w:type="character" w:customStyle="1" w:styleId="BodyText2Char">
    <w:name w:val="Body Text 2 Char"/>
    <w:basedOn w:val="DefaultParagraphFont"/>
    <w:link w:val="BodyText2"/>
    <w:rsid w:val="00E3534A"/>
  </w:style>
  <w:style w:type="paragraph" w:styleId="Quote">
    <w:name w:val="Quote"/>
    <w:basedOn w:val="Normal"/>
    <w:link w:val="QuoteChar"/>
    <w:uiPriority w:val="29"/>
    <w:qFormat/>
    <w:rsid w:val="00340740"/>
    <w:pPr>
      <w:spacing w:after="240"/>
      <w:ind w:left="720" w:right="720"/>
    </w:pPr>
    <w:rPr>
      <w:iCs/>
    </w:rPr>
  </w:style>
  <w:style w:type="character" w:customStyle="1" w:styleId="QuoteChar">
    <w:name w:val="Quote Char"/>
    <w:basedOn w:val="DefaultParagraphFont"/>
    <w:link w:val="Quote"/>
    <w:uiPriority w:val="29"/>
    <w:rsid w:val="00340740"/>
    <w:rPr>
      <w:iCs/>
    </w:rPr>
  </w:style>
  <w:style w:type="paragraph" w:customStyle="1" w:styleId="Quote2">
    <w:name w:val="Quote 2"/>
    <w:basedOn w:val="Normal"/>
    <w:link w:val="Quote2Char"/>
    <w:qFormat/>
    <w:rsid w:val="00E3534A"/>
    <w:pPr>
      <w:spacing w:line="480" w:lineRule="auto"/>
      <w:ind w:left="720" w:right="720"/>
    </w:pPr>
  </w:style>
  <w:style w:type="character" w:customStyle="1" w:styleId="Quote2Char">
    <w:name w:val="Quote 2 Char"/>
    <w:basedOn w:val="DefaultParagraphFont"/>
    <w:link w:val="Quote2"/>
    <w:rsid w:val="00E3534A"/>
  </w:style>
  <w:style w:type="paragraph" w:styleId="Title">
    <w:name w:val="Title"/>
    <w:basedOn w:val="Normal"/>
    <w:next w:val="BodyText"/>
    <w:link w:val="TitleChar"/>
    <w:uiPriority w:val="10"/>
    <w:qFormat/>
    <w:rsid w:val="00340740"/>
    <w:pPr>
      <w:keepNext/>
      <w:spacing w:after="240"/>
      <w:jc w:val="center"/>
    </w:pPr>
    <w:rPr>
      <w:rFonts w:eastAsiaTheme="majorEastAsia" w:cstheme="majorBidi"/>
      <w:kern w:val="28"/>
      <w:szCs w:val="52"/>
      <w:u w:val="single"/>
    </w:rPr>
  </w:style>
  <w:style w:type="character" w:customStyle="1" w:styleId="TitleChar">
    <w:name w:val="Title Char"/>
    <w:basedOn w:val="DefaultParagraphFont"/>
    <w:link w:val="Title"/>
    <w:uiPriority w:val="10"/>
    <w:rsid w:val="00340740"/>
    <w:rPr>
      <w:rFonts w:eastAsiaTheme="majorEastAsia" w:cstheme="majorBidi"/>
      <w:kern w:val="28"/>
      <w:szCs w:val="52"/>
      <w:u w:val="single"/>
    </w:rPr>
  </w:style>
  <w:style w:type="paragraph" w:styleId="Subtitle">
    <w:name w:val="Subtitle"/>
    <w:basedOn w:val="Normal"/>
    <w:next w:val="BodyText"/>
    <w:link w:val="SubtitleChar"/>
    <w:uiPriority w:val="11"/>
    <w:qFormat/>
    <w:rsid w:val="00340740"/>
    <w:pPr>
      <w:keepNext/>
      <w:numPr>
        <w:ilvl w:val="1"/>
      </w:numPr>
      <w:spacing w:after="240"/>
    </w:pPr>
    <w:rPr>
      <w:rFonts w:eastAsiaTheme="majorEastAsia" w:cstheme="majorBidi"/>
      <w:iCs/>
      <w:u w:val="single"/>
    </w:rPr>
  </w:style>
  <w:style w:type="character" w:customStyle="1" w:styleId="SubtitleChar">
    <w:name w:val="Subtitle Char"/>
    <w:basedOn w:val="DefaultParagraphFont"/>
    <w:link w:val="Subtitle"/>
    <w:uiPriority w:val="11"/>
    <w:rsid w:val="00340740"/>
    <w:rPr>
      <w:rFonts w:eastAsiaTheme="majorEastAsia" w:cstheme="majorBidi"/>
      <w:iCs/>
      <w:u w:val="single"/>
    </w:rPr>
  </w:style>
  <w:style w:type="paragraph" w:styleId="Header">
    <w:name w:val="header"/>
    <w:basedOn w:val="Normal"/>
    <w:link w:val="HeaderChar"/>
    <w:uiPriority w:val="99"/>
    <w:semiHidden/>
    <w:unhideWhenUsed/>
    <w:rsid w:val="009A2CBA"/>
    <w:pPr>
      <w:tabs>
        <w:tab w:val="center" w:pos="4680"/>
        <w:tab w:val="right" w:pos="9360"/>
      </w:tabs>
    </w:pPr>
  </w:style>
  <w:style w:type="character" w:customStyle="1" w:styleId="HeaderChar">
    <w:name w:val="Header Char"/>
    <w:basedOn w:val="DefaultParagraphFont"/>
    <w:link w:val="Header"/>
    <w:uiPriority w:val="99"/>
    <w:semiHidden/>
    <w:rsid w:val="009A2CBA"/>
  </w:style>
  <w:style w:type="paragraph" w:styleId="Footer">
    <w:name w:val="footer"/>
    <w:basedOn w:val="Normal"/>
    <w:link w:val="FooterChar"/>
    <w:uiPriority w:val="99"/>
    <w:unhideWhenUsed/>
    <w:rsid w:val="009A2CBA"/>
    <w:pPr>
      <w:tabs>
        <w:tab w:val="center" w:pos="4680"/>
        <w:tab w:val="right" w:pos="9360"/>
      </w:tabs>
    </w:pPr>
  </w:style>
  <w:style w:type="character" w:customStyle="1" w:styleId="FooterChar">
    <w:name w:val="Footer Char"/>
    <w:basedOn w:val="DefaultParagraphFont"/>
    <w:link w:val="Footer"/>
    <w:uiPriority w:val="99"/>
    <w:rsid w:val="009A2CBA"/>
  </w:style>
  <w:style w:type="paragraph" w:customStyle="1" w:styleId="BlockText2">
    <w:name w:val="Block Text 2"/>
    <w:basedOn w:val="Normal"/>
    <w:qFormat/>
    <w:rsid w:val="00AD3673"/>
    <w:pPr>
      <w:spacing w:line="480" w:lineRule="auto"/>
    </w:pPr>
  </w:style>
  <w:style w:type="paragraph" w:customStyle="1" w:styleId="BodyTextJ">
    <w:name w:val="Body Text J"/>
    <w:basedOn w:val="Normal"/>
    <w:qFormat/>
    <w:rsid w:val="00AD3673"/>
    <w:pPr>
      <w:spacing w:after="240"/>
      <w:ind w:firstLine="720"/>
      <w:jc w:val="both"/>
    </w:pPr>
  </w:style>
  <w:style w:type="paragraph" w:customStyle="1" w:styleId="BodyText2J">
    <w:name w:val="Body Text 2J"/>
    <w:basedOn w:val="Normal"/>
    <w:qFormat/>
    <w:rsid w:val="00AD3673"/>
    <w:pPr>
      <w:spacing w:line="480" w:lineRule="auto"/>
      <w:ind w:firstLine="720"/>
      <w:jc w:val="both"/>
    </w:pPr>
  </w:style>
  <w:style w:type="paragraph" w:customStyle="1" w:styleId="BlockTextJ">
    <w:name w:val="Block Text J"/>
    <w:basedOn w:val="Normal"/>
    <w:qFormat/>
    <w:rsid w:val="00AD3673"/>
    <w:pPr>
      <w:spacing w:after="240"/>
      <w:jc w:val="both"/>
    </w:pPr>
  </w:style>
  <w:style w:type="paragraph" w:customStyle="1" w:styleId="BlockText2J">
    <w:name w:val="Block Text 2J"/>
    <w:basedOn w:val="Normal"/>
    <w:qFormat/>
    <w:rsid w:val="00AD3673"/>
    <w:pPr>
      <w:spacing w:line="480" w:lineRule="auto"/>
      <w:jc w:val="both"/>
    </w:pPr>
  </w:style>
  <w:style w:type="paragraph" w:customStyle="1" w:styleId="QuoteJ">
    <w:name w:val="Quote J"/>
    <w:basedOn w:val="Normal"/>
    <w:qFormat/>
    <w:rsid w:val="00AD3673"/>
    <w:pPr>
      <w:spacing w:after="240"/>
      <w:ind w:left="720" w:right="720"/>
      <w:jc w:val="both"/>
    </w:pPr>
  </w:style>
  <w:style w:type="paragraph" w:customStyle="1" w:styleId="Quote2J">
    <w:name w:val="Quote 2J"/>
    <w:basedOn w:val="Normal"/>
    <w:qFormat/>
    <w:rsid w:val="00AD3673"/>
    <w:pPr>
      <w:spacing w:line="480" w:lineRule="auto"/>
      <w:ind w:left="720" w:right="720"/>
      <w:jc w:val="both"/>
    </w:pPr>
  </w:style>
  <w:style w:type="paragraph" w:customStyle="1" w:styleId="TaxDisclaimer">
    <w:name w:val="TaxDisclaimer"/>
    <w:basedOn w:val="Normal"/>
    <w:semiHidden/>
    <w:unhideWhenUsed/>
    <w:rsid w:val="008C44B6"/>
    <w:pPr>
      <w:spacing w:before="100" w:after="100"/>
    </w:pPr>
    <w:rPr>
      <w:rFonts w:ascii="Arial" w:eastAsia="Times New Roman" w:hAnsi="Arial" w:cs="Times New Roman"/>
      <w:bCs/>
      <w:sz w:val="20"/>
    </w:rPr>
  </w:style>
  <w:style w:type="paragraph" w:customStyle="1" w:styleId="ProhibitForward">
    <w:name w:val="ProhibitForward"/>
    <w:basedOn w:val="Normal"/>
    <w:semiHidden/>
    <w:unhideWhenUsed/>
    <w:qFormat/>
    <w:rsid w:val="008C44B6"/>
    <w:pPr>
      <w:jc w:val="center"/>
    </w:pPr>
    <w:rPr>
      <w:rFonts w:eastAsia="Times New Roman" w:cs="Times New Roman"/>
      <w:color w:val="FF0000"/>
      <w:sz w:val="18"/>
      <w:szCs w:val="18"/>
    </w:rPr>
  </w:style>
  <w:style w:type="character" w:customStyle="1" w:styleId="DocID">
    <w:name w:val="DocID"/>
    <w:basedOn w:val="DefaultParagraphFont"/>
    <w:semiHidden/>
    <w:qFormat/>
    <w:rsid w:val="000421B5"/>
    <w:rPr>
      <w:rFonts w:ascii="Times New Roman" w:hAnsi="Times New Roman"/>
      <w:sz w:val="16"/>
    </w:rPr>
  </w:style>
  <w:style w:type="paragraph" w:customStyle="1" w:styleId="BlockText1">
    <w:name w:val="Block Text 1"/>
    <w:basedOn w:val="Normal"/>
    <w:qFormat/>
    <w:rsid w:val="00614279"/>
    <w:pPr>
      <w:spacing w:after="240"/>
      <w:ind w:left="1440"/>
    </w:pPr>
  </w:style>
  <w:style w:type="paragraph" w:customStyle="1" w:styleId="BlockText1-2">
    <w:name w:val="Block Text 1 - 2"/>
    <w:basedOn w:val="Normal"/>
    <w:qFormat/>
    <w:rsid w:val="00614279"/>
    <w:pPr>
      <w:spacing w:line="480" w:lineRule="auto"/>
      <w:ind w:left="1440"/>
    </w:pPr>
  </w:style>
  <w:style w:type="paragraph" w:customStyle="1" w:styleId="Hang">
    <w:name w:val="Hang"/>
    <w:basedOn w:val="Normal"/>
    <w:qFormat/>
    <w:rsid w:val="00BC3ED9"/>
    <w:pPr>
      <w:spacing w:after="240"/>
      <w:ind w:left="720" w:hanging="720"/>
    </w:pPr>
  </w:style>
  <w:style w:type="paragraph" w:customStyle="1" w:styleId="Hang2">
    <w:name w:val="Hang 2"/>
    <w:basedOn w:val="Normal"/>
    <w:qFormat/>
    <w:rsid w:val="00BC3ED9"/>
    <w:pPr>
      <w:spacing w:line="480" w:lineRule="auto"/>
      <w:ind w:left="720" w:hanging="720"/>
    </w:pPr>
  </w:style>
  <w:style w:type="paragraph" w:customStyle="1" w:styleId="HangJ">
    <w:name w:val="Hang J"/>
    <w:basedOn w:val="Normal"/>
    <w:qFormat/>
    <w:rsid w:val="00BC3ED9"/>
    <w:pPr>
      <w:spacing w:after="240"/>
      <w:ind w:left="720" w:hanging="720"/>
      <w:jc w:val="both"/>
    </w:pPr>
  </w:style>
  <w:style w:type="paragraph" w:customStyle="1" w:styleId="Hang2J">
    <w:name w:val="Hang 2J"/>
    <w:basedOn w:val="Normal"/>
    <w:qFormat/>
    <w:rsid w:val="00BC3ED9"/>
    <w:pPr>
      <w:spacing w:line="480" w:lineRule="auto"/>
      <w:ind w:left="720" w:hanging="720"/>
      <w:jc w:val="both"/>
    </w:pPr>
  </w:style>
  <w:style w:type="paragraph" w:customStyle="1" w:styleId="Notary">
    <w:name w:val="Notary"/>
    <w:basedOn w:val="Normal"/>
    <w:qFormat/>
    <w:rsid w:val="001156AF"/>
    <w:pPr>
      <w:ind w:left="4320"/>
    </w:pPr>
  </w:style>
  <w:style w:type="paragraph" w:styleId="TOC1">
    <w:name w:val="toc 1"/>
    <w:basedOn w:val="Normal"/>
    <w:next w:val="Normal"/>
    <w:autoRedefine/>
    <w:uiPriority w:val="39"/>
    <w:semiHidden/>
    <w:unhideWhenUsed/>
    <w:rsid w:val="005F4A79"/>
    <w:pPr>
      <w:tabs>
        <w:tab w:val="right" w:leader="dot" w:pos="9360"/>
      </w:tabs>
      <w:spacing w:before="120" w:after="120"/>
      <w:ind w:left="720" w:right="432" w:hanging="720"/>
    </w:pPr>
    <w:rPr>
      <w:rFonts w:eastAsia="Times New Roman" w:cs="Times New Roman"/>
      <w:caps/>
      <w:noProof/>
      <w:szCs w:val="20"/>
    </w:rPr>
  </w:style>
  <w:style w:type="paragraph" w:styleId="TOC2">
    <w:name w:val="toc 2"/>
    <w:basedOn w:val="Normal"/>
    <w:next w:val="Normal"/>
    <w:autoRedefine/>
    <w:uiPriority w:val="39"/>
    <w:semiHidden/>
    <w:unhideWhenUsed/>
    <w:rsid w:val="005F4A79"/>
    <w:pPr>
      <w:tabs>
        <w:tab w:val="right" w:leader="dot" w:pos="9360"/>
      </w:tabs>
      <w:spacing w:before="120" w:after="120"/>
      <w:ind w:left="965" w:right="432" w:hanging="720"/>
    </w:pPr>
    <w:rPr>
      <w:rFonts w:eastAsia="Times New Roman" w:cs="Times New Roman"/>
      <w:smallCaps/>
      <w:noProof/>
    </w:rPr>
  </w:style>
  <w:style w:type="paragraph" w:styleId="TOC3">
    <w:name w:val="toc 3"/>
    <w:basedOn w:val="Normal"/>
    <w:next w:val="Normal"/>
    <w:autoRedefine/>
    <w:uiPriority w:val="39"/>
    <w:semiHidden/>
    <w:unhideWhenUsed/>
    <w:rsid w:val="005F4A79"/>
    <w:pPr>
      <w:tabs>
        <w:tab w:val="right" w:leader="dot" w:pos="9360"/>
      </w:tabs>
      <w:spacing w:before="120" w:after="120"/>
      <w:ind w:left="1195" w:right="432" w:hanging="720"/>
    </w:pPr>
    <w:rPr>
      <w:rFonts w:eastAsia="Times New Roman" w:cs="Times New Roman"/>
      <w:noProof/>
    </w:rPr>
  </w:style>
  <w:style w:type="paragraph" w:styleId="TOC4">
    <w:name w:val="toc 4"/>
    <w:basedOn w:val="Normal"/>
    <w:next w:val="Normal"/>
    <w:autoRedefine/>
    <w:uiPriority w:val="39"/>
    <w:semiHidden/>
    <w:unhideWhenUsed/>
    <w:rsid w:val="005F4A79"/>
    <w:pPr>
      <w:tabs>
        <w:tab w:val="right" w:leader="dot" w:pos="9360"/>
      </w:tabs>
      <w:ind w:left="1440" w:right="432" w:hanging="720"/>
    </w:pPr>
    <w:rPr>
      <w:rFonts w:eastAsia="Times New Roman" w:cs="Times New Roman"/>
      <w:noProof/>
    </w:rPr>
  </w:style>
  <w:style w:type="paragraph" w:styleId="TOC5">
    <w:name w:val="toc 5"/>
    <w:basedOn w:val="Normal"/>
    <w:next w:val="Normal"/>
    <w:autoRedefine/>
    <w:uiPriority w:val="39"/>
    <w:semiHidden/>
    <w:unhideWhenUsed/>
    <w:rsid w:val="005F4A79"/>
    <w:pPr>
      <w:tabs>
        <w:tab w:val="right" w:leader="dot" w:pos="9360"/>
      </w:tabs>
      <w:ind w:left="1685" w:right="432" w:hanging="720"/>
    </w:pPr>
    <w:rPr>
      <w:rFonts w:eastAsia="Times New Roman" w:cs="Times New Roman"/>
      <w:noProof/>
    </w:rPr>
  </w:style>
  <w:style w:type="paragraph" w:styleId="TOC6">
    <w:name w:val="toc 6"/>
    <w:basedOn w:val="Normal"/>
    <w:next w:val="Normal"/>
    <w:autoRedefine/>
    <w:semiHidden/>
    <w:unhideWhenUsed/>
    <w:rsid w:val="005F4A79"/>
    <w:pPr>
      <w:tabs>
        <w:tab w:val="right" w:leader="dot" w:pos="9360"/>
      </w:tabs>
      <w:ind w:left="1915" w:right="432" w:hanging="720"/>
    </w:pPr>
    <w:rPr>
      <w:rFonts w:eastAsia="Times New Roman" w:cs="Times New Roman"/>
      <w:noProof/>
    </w:rPr>
  </w:style>
  <w:style w:type="paragraph" w:styleId="TOC7">
    <w:name w:val="toc 7"/>
    <w:basedOn w:val="Normal"/>
    <w:next w:val="Normal"/>
    <w:autoRedefine/>
    <w:semiHidden/>
    <w:unhideWhenUsed/>
    <w:rsid w:val="005F4A79"/>
    <w:pPr>
      <w:tabs>
        <w:tab w:val="left" w:pos="5040"/>
        <w:tab w:val="right" w:leader="dot" w:pos="9360"/>
      </w:tabs>
      <w:ind w:left="2160" w:right="432" w:hanging="720"/>
    </w:pPr>
    <w:rPr>
      <w:rFonts w:eastAsia="Times New Roman" w:cs="Times New Roman"/>
      <w:noProof/>
    </w:rPr>
  </w:style>
  <w:style w:type="paragraph" w:styleId="TOC8">
    <w:name w:val="toc 8"/>
    <w:basedOn w:val="Normal"/>
    <w:next w:val="Normal"/>
    <w:autoRedefine/>
    <w:semiHidden/>
    <w:unhideWhenUsed/>
    <w:rsid w:val="005F4A79"/>
    <w:pPr>
      <w:tabs>
        <w:tab w:val="right" w:leader="dot" w:pos="9360"/>
      </w:tabs>
      <w:ind w:left="2405" w:right="432" w:hanging="720"/>
    </w:pPr>
    <w:rPr>
      <w:rFonts w:eastAsia="Times New Roman" w:cs="Times New Roman"/>
      <w:noProof/>
    </w:rPr>
  </w:style>
  <w:style w:type="paragraph" w:styleId="TOC9">
    <w:name w:val="toc 9"/>
    <w:basedOn w:val="Normal"/>
    <w:next w:val="Normal"/>
    <w:autoRedefine/>
    <w:semiHidden/>
    <w:unhideWhenUsed/>
    <w:rsid w:val="005F4A79"/>
    <w:pPr>
      <w:ind w:left="2635" w:right="432" w:hanging="720"/>
    </w:pPr>
    <w:rPr>
      <w:rFonts w:eastAsia="Times New Roman" w:cs="Times New Roman"/>
      <w:noProof/>
      <w:szCs w:val="20"/>
    </w:rPr>
  </w:style>
  <w:style w:type="paragraph" w:styleId="TOCHeading">
    <w:name w:val="TOC Heading"/>
    <w:basedOn w:val="Normal"/>
    <w:semiHidden/>
    <w:unhideWhenUsed/>
    <w:qFormat/>
    <w:rsid w:val="005F4A79"/>
    <w:pPr>
      <w:spacing w:after="240"/>
      <w:jc w:val="center"/>
    </w:pPr>
    <w:rPr>
      <w:rFonts w:eastAsia="Times New Roman" w:cs="Times New Roman"/>
      <w:b/>
      <w:szCs w:val="20"/>
    </w:rPr>
  </w:style>
  <w:style w:type="paragraph" w:customStyle="1" w:styleId="TOCPage">
    <w:name w:val="TOC Page"/>
    <w:basedOn w:val="Normal"/>
    <w:semiHidden/>
    <w:unhideWhenUsed/>
    <w:rsid w:val="005F4A79"/>
    <w:pPr>
      <w:spacing w:after="240"/>
      <w:jc w:val="right"/>
    </w:pPr>
    <w:rPr>
      <w:rFonts w:eastAsia="Times New Roman" w:cs="Times New Roman"/>
      <w:b/>
      <w:szCs w:val="20"/>
    </w:rPr>
  </w:style>
  <w:style w:type="paragraph" w:customStyle="1" w:styleId="Quote1">
    <w:name w:val="Quote 1"/>
    <w:basedOn w:val="Normal"/>
    <w:qFormat/>
    <w:rsid w:val="00B51F07"/>
    <w:pPr>
      <w:spacing w:after="240"/>
      <w:ind w:left="1440" w:right="1440"/>
      <w:jc w:val="both"/>
    </w:pPr>
  </w:style>
  <w:style w:type="paragraph" w:styleId="List">
    <w:name w:val="List"/>
    <w:basedOn w:val="Normal"/>
    <w:uiPriority w:val="99"/>
    <w:unhideWhenUsed/>
    <w:rsid w:val="00B51F07"/>
    <w:pPr>
      <w:numPr>
        <w:numId w:val="8"/>
      </w:numPr>
      <w:spacing w:after="240"/>
    </w:pPr>
  </w:style>
  <w:style w:type="paragraph" w:customStyle="1" w:styleId="ListalphaB0">
    <w:name w:val="List alpha B"/>
    <w:basedOn w:val="Normal"/>
    <w:rsid w:val="00D45220"/>
    <w:pPr>
      <w:numPr>
        <w:numId w:val="3"/>
      </w:numPr>
      <w:spacing w:after="240"/>
    </w:pPr>
    <w:rPr>
      <w:rFonts w:eastAsia="Times New Roman" w:cs="Times New Roman"/>
    </w:rPr>
  </w:style>
  <w:style w:type="paragraph" w:customStyle="1" w:styleId="Listalpha">
    <w:name w:val="List alpha"/>
    <w:basedOn w:val="Normal"/>
    <w:rsid w:val="00D45220"/>
    <w:pPr>
      <w:numPr>
        <w:numId w:val="4"/>
      </w:numPr>
      <w:spacing w:after="240"/>
    </w:pPr>
    <w:rPr>
      <w:rFonts w:eastAsia="Times New Roman" w:cs="Times New Roman"/>
    </w:rPr>
  </w:style>
  <w:style w:type="paragraph" w:customStyle="1" w:styleId="ListALPHAB">
    <w:name w:val="List ALPHA B"/>
    <w:basedOn w:val="Normal"/>
    <w:rsid w:val="00D45220"/>
    <w:pPr>
      <w:numPr>
        <w:numId w:val="5"/>
      </w:numPr>
      <w:spacing w:after="240"/>
      <w:jc w:val="both"/>
      <w:outlineLvl w:val="0"/>
    </w:pPr>
    <w:rPr>
      <w:rFonts w:eastAsia="Times New Roman" w:cs="Times New Roman"/>
    </w:rPr>
  </w:style>
  <w:style w:type="paragraph" w:customStyle="1" w:styleId="ListALPHA0">
    <w:name w:val="List ALPHA"/>
    <w:basedOn w:val="Normal"/>
    <w:rsid w:val="00D45220"/>
    <w:pPr>
      <w:numPr>
        <w:numId w:val="6"/>
      </w:numPr>
      <w:spacing w:after="240"/>
      <w:jc w:val="both"/>
      <w:outlineLvl w:val="0"/>
    </w:pPr>
    <w:rPr>
      <w:rFonts w:eastAsia="Times New Roman" w:cs="Times New Roman"/>
    </w:rPr>
  </w:style>
  <w:style w:type="paragraph" w:styleId="Closing">
    <w:name w:val="Closing"/>
    <w:basedOn w:val="Normal"/>
    <w:link w:val="ClosingChar"/>
    <w:uiPriority w:val="99"/>
    <w:rsid w:val="002630F7"/>
    <w:pPr>
      <w:spacing w:after="720"/>
      <w:ind w:left="4320"/>
      <w:contextualSpacing/>
    </w:pPr>
  </w:style>
  <w:style w:type="character" w:customStyle="1" w:styleId="ClosingChar">
    <w:name w:val="Closing Char"/>
    <w:basedOn w:val="DefaultParagraphFont"/>
    <w:link w:val="Closing"/>
    <w:uiPriority w:val="99"/>
    <w:rsid w:val="002630F7"/>
  </w:style>
  <w:style w:type="paragraph" w:customStyle="1" w:styleId="ClosingFirmName">
    <w:name w:val="ClosingFirmName"/>
    <w:basedOn w:val="Closing"/>
    <w:next w:val="Normal"/>
    <w:uiPriority w:val="99"/>
    <w:semiHidden/>
    <w:rsid w:val="002630F7"/>
    <w:pPr>
      <w:spacing w:after="240"/>
    </w:pPr>
  </w:style>
  <w:style w:type="paragraph" w:styleId="Signature">
    <w:name w:val="Signature"/>
    <w:basedOn w:val="Normal"/>
    <w:link w:val="SignatureChar"/>
    <w:uiPriority w:val="99"/>
    <w:rsid w:val="002630F7"/>
    <w:pPr>
      <w:tabs>
        <w:tab w:val="right" w:pos="9216"/>
      </w:tabs>
      <w:spacing w:after="240"/>
      <w:ind w:left="4320"/>
    </w:pPr>
  </w:style>
  <w:style w:type="character" w:customStyle="1" w:styleId="SignatureChar">
    <w:name w:val="Signature Char"/>
    <w:basedOn w:val="DefaultParagraphFont"/>
    <w:link w:val="Signature"/>
    <w:uiPriority w:val="99"/>
    <w:rsid w:val="002630F7"/>
  </w:style>
  <w:style w:type="paragraph" w:customStyle="1" w:styleId="SignatureByLine">
    <w:name w:val="SignatureByLine"/>
    <w:basedOn w:val="Signature"/>
    <w:uiPriority w:val="99"/>
    <w:semiHidden/>
    <w:rsid w:val="002630F7"/>
    <w:pPr>
      <w:ind w:left="360"/>
    </w:pPr>
  </w:style>
  <w:style w:type="paragraph" w:styleId="ListNumber">
    <w:name w:val="List Number"/>
    <w:basedOn w:val="Normal"/>
    <w:uiPriority w:val="99"/>
    <w:unhideWhenUsed/>
    <w:rsid w:val="00614279"/>
    <w:pPr>
      <w:numPr>
        <w:numId w:val="1"/>
      </w:numPr>
      <w:spacing w:after="240"/>
    </w:pPr>
  </w:style>
  <w:style w:type="paragraph" w:styleId="ListNumber2">
    <w:name w:val="List Number 2"/>
    <w:basedOn w:val="Normal"/>
    <w:uiPriority w:val="99"/>
    <w:unhideWhenUsed/>
    <w:rsid w:val="00614279"/>
    <w:pPr>
      <w:numPr>
        <w:numId w:val="2"/>
      </w:numPr>
      <w:spacing w:line="480" w:lineRule="auto"/>
      <w:contextualSpacing/>
    </w:pPr>
  </w:style>
  <w:style w:type="paragraph" w:customStyle="1" w:styleId="ListNumberB">
    <w:name w:val="List Number B"/>
    <w:basedOn w:val="Normal"/>
    <w:qFormat/>
    <w:rsid w:val="00614279"/>
    <w:pPr>
      <w:numPr>
        <w:numId w:val="7"/>
      </w:numPr>
      <w:spacing w:after="240"/>
    </w:pPr>
  </w:style>
  <w:style w:type="paragraph" w:styleId="ListBullet">
    <w:name w:val="List Bullet"/>
    <w:basedOn w:val="Normal"/>
    <w:rsid w:val="000A4BA4"/>
    <w:pPr>
      <w:numPr>
        <w:numId w:val="9"/>
      </w:numPr>
      <w:contextualSpacing/>
    </w:pPr>
  </w:style>
  <w:style w:type="paragraph" w:styleId="ListBullet2">
    <w:name w:val="List Bullet 2"/>
    <w:basedOn w:val="Normal"/>
    <w:rsid w:val="000A4BA4"/>
    <w:pPr>
      <w:numPr>
        <w:numId w:val="10"/>
      </w:numPr>
      <w:contextualSpacing/>
    </w:pPr>
  </w:style>
  <w:style w:type="paragraph" w:styleId="ListParagraph">
    <w:name w:val="List Paragraph"/>
    <w:basedOn w:val="Normal"/>
    <w:uiPriority w:val="34"/>
    <w:rsid w:val="00CA1872"/>
    <w:pPr>
      <w:ind w:left="720"/>
      <w:contextualSpacing/>
    </w:pPr>
  </w:style>
  <w:style w:type="paragraph" w:styleId="FootnoteText">
    <w:name w:val="footnote text"/>
    <w:basedOn w:val="Normal"/>
    <w:link w:val="FootnoteTextChar"/>
    <w:uiPriority w:val="99"/>
    <w:semiHidden/>
    <w:unhideWhenUsed/>
    <w:rsid w:val="0083319A"/>
    <w:rPr>
      <w:sz w:val="20"/>
      <w:szCs w:val="20"/>
    </w:rPr>
  </w:style>
  <w:style w:type="character" w:customStyle="1" w:styleId="FootnoteTextChar">
    <w:name w:val="Footnote Text Char"/>
    <w:basedOn w:val="DefaultParagraphFont"/>
    <w:link w:val="FootnoteText"/>
    <w:uiPriority w:val="99"/>
    <w:semiHidden/>
    <w:rsid w:val="0083319A"/>
    <w:rPr>
      <w:sz w:val="20"/>
      <w:szCs w:val="20"/>
    </w:rPr>
  </w:style>
  <w:style w:type="character" w:styleId="FootnoteReference">
    <w:name w:val="footnote reference"/>
    <w:basedOn w:val="DefaultParagraphFont"/>
    <w:uiPriority w:val="99"/>
    <w:semiHidden/>
    <w:unhideWhenUsed/>
    <w:rsid w:val="0083319A"/>
    <w:rPr>
      <w:vertAlign w:val="superscript"/>
    </w:rPr>
  </w:style>
  <w:style w:type="paragraph" w:styleId="EndnoteText">
    <w:name w:val="endnote text"/>
    <w:basedOn w:val="Normal"/>
    <w:link w:val="EndnoteTextChar"/>
    <w:uiPriority w:val="99"/>
    <w:semiHidden/>
    <w:unhideWhenUsed/>
    <w:rsid w:val="00C613B0"/>
    <w:rPr>
      <w:sz w:val="20"/>
      <w:szCs w:val="20"/>
    </w:rPr>
  </w:style>
  <w:style w:type="character" w:customStyle="1" w:styleId="EndnoteTextChar">
    <w:name w:val="Endnote Text Char"/>
    <w:basedOn w:val="DefaultParagraphFont"/>
    <w:link w:val="EndnoteText"/>
    <w:uiPriority w:val="99"/>
    <w:semiHidden/>
    <w:rsid w:val="00C613B0"/>
    <w:rPr>
      <w:sz w:val="20"/>
      <w:szCs w:val="20"/>
    </w:rPr>
  </w:style>
  <w:style w:type="character" w:styleId="EndnoteReference">
    <w:name w:val="endnote reference"/>
    <w:basedOn w:val="DefaultParagraphFont"/>
    <w:uiPriority w:val="99"/>
    <w:semiHidden/>
    <w:unhideWhenUsed/>
    <w:rsid w:val="00C613B0"/>
    <w:rPr>
      <w:vertAlign w:val="superscript"/>
    </w:rPr>
  </w:style>
  <w:style w:type="character" w:styleId="Hyperlink">
    <w:name w:val="Hyperlink"/>
    <w:basedOn w:val="DefaultParagraphFont"/>
    <w:uiPriority w:val="99"/>
    <w:semiHidden/>
    <w:unhideWhenUsed/>
    <w:rsid w:val="000D2555"/>
    <w:rPr>
      <w:color w:val="003366"/>
      <w:u w:val="single"/>
    </w:rPr>
  </w:style>
  <w:style w:type="character" w:styleId="FollowedHyperlink">
    <w:name w:val="FollowedHyperlink"/>
    <w:basedOn w:val="DefaultParagraphFont"/>
    <w:uiPriority w:val="99"/>
    <w:semiHidden/>
    <w:unhideWhenUsed/>
    <w:rsid w:val="00252DC4"/>
    <w:rPr>
      <w:color w:val="003366"/>
      <w:u w:val="single"/>
    </w:rPr>
  </w:style>
  <w:style w:type="paragraph" w:customStyle="1" w:styleId="Header1">
    <w:name w:val="Header1"/>
    <w:basedOn w:val="Normal"/>
    <w:rsid w:val="00252DC4"/>
    <w:pPr>
      <w:shd w:val="clear" w:color="auto" w:fill="003366"/>
      <w:spacing w:before="100" w:beforeAutospacing="1" w:after="100" w:afterAutospacing="1"/>
    </w:pPr>
    <w:rPr>
      <w:rFonts w:eastAsia="Times New Roman" w:cs="Times New Roman"/>
    </w:rPr>
  </w:style>
  <w:style w:type="paragraph" w:customStyle="1" w:styleId="tablive">
    <w:name w:val="tab_live"/>
    <w:basedOn w:val="Normal"/>
    <w:rsid w:val="00252DC4"/>
    <w:pPr>
      <w:shd w:val="clear" w:color="auto" w:fill="FFFFFF"/>
      <w:spacing w:before="100" w:beforeAutospacing="1" w:after="100" w:afterAutospacing="1"/>
    </w:pPr>
    <w:rPr>
      <w:rFonts w:eastAsia="Times New Roman" w:cs="Times New Roman"/>
    </w:rPr>
  </w:style>
  <w:style w:type="paragraph" w:customStyle="1" w:styleId="tabdead">
    <w:name w:val="tab_dead"/>
    <w:basedOn w:val="Normal"/>
    <w:rsid w:val="00252DC4"/>
    <w:pPr>
      <w:pBdr>
        <w:bottom w:val="single" w:sz="6" w:space="0" w:color="999999"/>
      </w:pBdr>
      <w:shd w:val="clear" w:color="auto" w:fill="CCCCCC"/>
      <w:spacing w:before="100" w:beforeAutospacing="1" w:after="100" w:afterAutospacing="1"/>
    </w:pPr>
    <w:rPr>
      <w:rFonts w:eastAsia="Times New Roman" w:cs="Times New Roman"/>
    </w:rPr>
  </w:style>
  <w:style w:type="paragraph" w:customStyle="1" w:styleId="navheader">
    <w:name w:val="nav_header"/>
    <w:basedOn w:val="Normal"/>
    <w:rsid w:val="00252DC4"/>
    <w:pPr>
      <w:shd w:val="clear" w:color="auto" w:fill="003366"/>
      <w:spacing w:before="100" w:beforeAutospacing="1" w:after="100" w:afterAutospacing="1"/>
    </w:pPr>
    <w:rPr>
      <w:rFonts w:ascii="Arial" w:eastAsia="Times New Roman" w:hAnsi="Arial" w:cs="Arial"/>
      <w:b/>
      <w:bCs/>
      <w:color w:val="FFFFFF"/>
    </w:rPr>
  </w:style>
  <w:style w:type="paragraph" w:customStyle="1" w:styleId="specialcontentheader">
    <w:name w:val="special_content_header"/>
    <w:basedOn w:val="Normal"/>
    <w:rsid w:val="00252DC4"/>
    <w:pPr>
      <w:shd w:val="clear" w:color="auto" w:fill="F15B2A"/>
      <w:spacing w:before="100" w:beforeAutospacing="1" w:after="100" w:afterAutospacing="1"/>
    </w:pPr>
    <w:rPr>
      <w:rFonts w:ascii="Arial" w:eastAsia="Times New Roman" w:hAnsi="Arial" w:cs="Arial"/>
      <w:b/>
      <w:bCs/>
      <w:color w:val="FFFFFF"/>
    </w:rPr>
  </w:style>
  <w:style w:type="paragraph" w:customStyle="1" w:styleId="toolbar">
    <w:name w:val="toolbar"/>
    <w:basedOn w:val="Normal"/>
    <w:rsid w:val="00252DC4"/>
    <w:pPr>
      <w:pBdr>
        <w:top w:val="single" w:sz="6" w:space="2" w:color="EEEEEE"/>
        <w:left w:val="single" w:sz="6" w:space="4" w:color="EEEEEE"/>
        <w:bottom w:val="single" w:sz="6" w:space="2" w:color="666666"/>
        <w:right w:val="single" w:sz="6" w:space="4" w:color="666666"/>
      </w:pBdr>
      <w:shd w:val="clear" w:color="auto" w:fill="CCCCCC"/>
      <w:spacing w:before="100" w:beforeAutospacing="1" w:after="100" w:afterAutospacing="1"/>
    </w:pPr>
    <w:rPr>
      <w:rFonts w:eastAsia="Times New Roman" w:cs="Times New Roman"/>
      <w:color w:val="000000"/>
    </w:rPr>
  </w:style>
  <w:style w:type="paragraph" w:customStyle="1" w:styleId="red">
    <w:name w:val="red"/>
    <w:basedOn w:val="Normal"/>
    <w:rsid w:val="00252DC4"/>
    <w:pPr>
      <w:spacing w:before="100" w:beforeAutospacing="1" w:after="100" w:afterAutospacing="1"/>
    </w:pPr>
    <w:rPr>
      <w:rFonts w:eastAsia="Times New Roman" w:cs="Times New Roman"/>
      <w:color w:val="CC0000"/>
    </w:rPr>
  </w:style>
  <w:style w:type="paragraph" w:customStyle="1" w:styleId="green">
    <w:name w:val="green"/>
    <w:basedOn w:val="Normal"/>
    <w:rsid w:val="00252DC4"/>
    <w:pPr>
      <w:spacing w:before="100" w:beforeAutospacing="1" w:after="100" w:afterAutospacing="1"/>
    </w:pPr>
    <w:rPr>
      <w:rFonts w:eastAsia="Times New Roman" w:cs="Times New Roman"/>
      <w:color w:val="339900"/>
    </w:rPr>
  </w:style>
  <w:style w:type="paragraph" w:customStyle="1" w:styleId="dead">
    <w:name w:val="dead"/>
    <w:basedOn w:val="Normal"/>
    <w:rsid w:val="00252DC4"/>
    <w:pPr>
      <w:spacing w:before="100" w:beforeAutospacing="1" w:after="100" w:afterAutospacing="1"/>
    </w:pPr>
    <w:rPr>
      <w:rFonts w:eastAsia="Times New Roman" w:cs="Times New Roman"/>
      <w:color w:val="666666"/>
    </w:rPr>
  </w:style>
  <w:style w:type="paragraph" w:customStyle="1" w:styleId="live">
    <w:name w:val="live"/>
    <w:basedOn w:val="Normal"/>
    <w:rsid w:val="00252DC4"/>
    <w:pPr>
      <w:spacing w:before="100" w:beforeAutospacing="1" w:after="100" w:afterAutospacing="1"/>
    </w:pPr>
    <w:rPr>
      <w:rFonts w:eastAsia="Times New Roman" w:cs="Times New Roman"/>
    </w:rPr>
  </w:style>
  <w:style w:type="paragraph" w:customStyle="1" w:styleId="orgname">
    <w:name w:val="org_name"/>
    <w:basedOn w:val="Normal"/>
    <w:rsid w:val="00252DC4"/>
    <w:pPr>
      <w:spacing w:before="100" w:beforeAutospacing="1" w:after="100" w:afterAutospacing="1"/>
      <w:jc w:val="right"/>
    </w:pPr>
    <w:rPr>
      <w:rFonts w:eastAsia="Times New Roman" w:cs="Times New Roman"/>
      <w:color w:val="FFFFFF"/>
    </w:rPr>
  </w:style>
  <w:style w:type="paragraph" w:customStyle="1" w:styleId="formwidth">
    <w:name w:val="form_width"/>
    <w:basedOn w:val="Normal"/>
    <w:rsid w:val="00252DC4"/>
    <w:pPr>
      <w:spacing w:before="100" w:beforeAutospacing="1" w:after="100" w:afterAutospacing="1"/>
    </w:pPr>
    <w:rPr>
      <w:rFonts w:eastAsia="Times New Roman" w:cs="Times New Roman"/>
    </w:rPr>
  </w:style>
  <w:style w:type="paragraph" w:customStyle="1" w:styleId="box">
    <w:name w:val="box"/>
    <w:basedOn w:val="Normal"/>
    <w:rsid w:val="00252DC4"/>
    <w:pPr>
      <w:pBdr>
        <w:top w:val="single" w:sz="6" w:space="0" w:color="003366"/>
        <w:left w:val="single" w:sz="6" w:space="0" w:color="003366"/>
        <w:bottom w:val="single" w:sz="6" w:space="0" w:color="003366"/>
        <w:right w:val="single" w:sz="6" w:space="0" w:color="003366"/>
      </w:pBdr>
      <w:spacing w:before="100" w:beforeAutospacing="1" w:after="100" w:afterAutospacing="1"/>
    </w:pPr>
    <w:rPr>
      <w:rFonts w:eastAsia="Times New Roman" w:cs="Times New Roman"/>
    </w:rPr>
  </w:style>
  <w:style w:type="paragraph" w:customStyle="1" w:styleId="greybox">
    <w:name w:val="grey_box"/>
    <w:basedOn w:val="Normal"/>
    <w:rsid w:val="00252DC4"/>
    <w:pPr>
      <w:pBdr>
        <w:top w:val="single" w:sz="6" w:space="4" w:color="CCCCCC"/>
        <w:left w:val="single" w:sz="6" w:space="4" w:color="CCCCCC"/>
        <w:bottom w:val="single" w:sz="6" w:space="4" w:color="CCCCCC"/>
        <w:right w:val="single" w:sz="6" w:space="4" w:color="CCCCCC"/>
      </w:pBdr>
      <w:shd w:val="clear" w:color="auto" w:fill="EEEEEE"/>
      <w:spacing w:before="100" w:beforeAutospacing="1" w:after="100" w:afterAutospacing="1"/>
    </w:pPr>
    <w:rPr>
      <w:rFonts w:eastAsia="Times New Roman" w:cs="Times New Roman"/>
    </w:rPr>
  </w:style>
  <w:style w:type="paragraph" w:customStyle="1" w:styleId="tiny">
    <w:name w:val="tiny"/>
    <w:basedOn w:val="Normal"/>
    <w:rsid w:val="00252DC4"/>
    <w:pPr>
      <w:spacing w:before="100" w:beforeAutospacing="1" w:after="100" w:afterAutospacing="1"/>
    </w:pPr>
    <w:rPr>
      <w:rFonts w:ascii="Arial" w:eastAsia="Times New Roman" w:hAnsi="Arial" w:cs="Arial"/>
      <w:sz w:val="15"/>
      <w:szCs w:val="15"/>
    </w:rPr>
  </w:style>
  <w:style w:type="paragraph" w:customStyle="1" w:styleId="large">
    <w:name w:val="large"/>
    <w:basedOn w:val="Normal"/>
    <w:rsid w:val="00252DC4"/>
    <w:pPr>
      <w:spacing w:before="100" w:beforeAutospacing="1" w:after="100" w:afterAutospacing="1"/>
    </w:pPr>
    <w:rPr>
      <w:rFonts w:ascii="Arial" w:eastAsia="Times New Roman" w:hAnsi="Arial" w:cs="Arial"/>
      <w:b/>
      <w:bCs/>
      <w:sz w:val="23"/>
      <w:szCs w:val="23"/>
    </w:rPr>
  </w:style>
  <w:style w:type="paragraph" w:customStyle="1" w:styleId="pageheader">
    <w:name w:val="page_header"/>
    <w:basedOn w:val="Normal"/>
    <w:rsid w:val="00252DC4"/>
    <w:pPr>
      <w:spacing w:before="225" w:after="150"/>
      <w:ind w:left="150" w:right="150"/>
    </w:pPr>
    <w:rPr>
      <w:rFonts w:ascii="Arial" w:eastAsia="Times New Roman" w:hAnsi="Arial" w:cs="Arial"/>
      <w:b/>
      <w:bCs/>
      <w:sz w:val="27"/>
      <w:szCs w:val="27"/>
    </w:rPr>
  </w:style>
  <w:style w:type="paragraph" w:customStyle="1" w:styleId="navlarge">
    <w:name w:val="nav_large"/>
    <w:basedOn w:val="Normal"/>
    <w:rsid w:val="00252DC4"/>
    <w:pPr>
      <w:spacing w:before="100" w:beforeAutospacing="1" w:after="100" w:afterAutospacing="1"/>
    </w:pPr>
    <w:rPr>
      <w:rFonts w:ascii="Verdana" w:eastAsia="Times New Roman" w:hAnsi="Verdana" w:cs="Times New Roman"/>
      <w:b/>
      <w:bCs/>
      <w:sz w:val="20"/>
      <w:szCs w:val="20"/>
    </w:rPr>
  </w:style>
  <w:style w:type="paragraph" w:customStyle="1" w:styleId="navsmall">
    <w:name w:val="nav_small"/>
    <w:basedOn w:val="Normal"/>
    <w:rsid w:val="00252DC4"/>
    <w:pPr>
      <w:spacing w:before="100" w:beforeAutospacing="1" w:after="100" w:afterAutospacing="1"/>
    </w:pPr>
    <w:rPr>
      <w:rFonts w:ascii="Arial" w:eastAsia="Times New Roman" w:hAnsi="Arial" w:cs="Arial"/>
      <w:sz w:val="17"/>
      <w:szCs w:val="17"/>
    </w:rPr>
  </w:style>
  <w:style w:type="paragraph" w:customStyle="1" w:styleId="bottomline">
    <w:name w:val="bottom_line"/>
    <w:basedOn w:val="Normal"/>
    <w:rsid w:val="00252DC4"/>
    <w:pPr>
      <w:pBdr>
        <w:bottom w:val="single" w:sz="6" w:space="0" w:color="000000"/>
      </w:pBdr>
      <w:spacing w:before="100" w:beforeAutospacing="1" w:after="100" w:afterAutospacing="1"/>
    </w:pPr>
    <w:rPr>
      <w:rFonts w:eastAsia="Times New Roman" w:cs="Times New Roman"/>
    </w:rPr>
  </w:style>
  <w:style w:type="paragraph" w:customStyle="1" w:styleId="topline">
    <w:name w:val="top_line"/>
    <w:basedOn w:val="Normal"/>
    <w:rsid w:val="00252DC4"/>
    <w:pPr>
      <w:pBdr>
        <w:top w:val="single" w:sz="6" w:space="0" w:color="000000"/>
      </w:pBdr>
      <w:spacing w:before="100" w:beforeAutospacing="1" w:after="100" w:afterAutospacing="1"/>
    </w:pPr>
    <w:rPr>
      <w:rFonts w:eastAsia="Times New Roman" w:cs="Times New Roman"/>
    </w:rPr>
  </w:style>
  <w:style w:type="paragraph" w:customStyle="1" w:styleId="bottomlinegrey">
    <w:name w:val="bottom_line_grey"/>
    <w:basedOn w:val="Normal"/>
    <w:rsid w:val="00252DC4"/>
    <w:pPr>
      <w:pBdr>
        <w:bottom w:val="single" w:sz="6" w:space="0" w:color="CCCCCC"/>
      </w:pBdr>
      <w:spacing w:before="100" w:beforeAutospacing="1" w:after="100" w:afterAutospacing="1"/>
    </w:pPr>
    <w:rPr>
      <w:rFonts w:eastAsia="Times New Roman" w:cs="Times New Roman"/>
    </w:rPr>
  </w:style>
  <w:style w:type="paragraph" w:customStyle="1" w:styleId="note">
    <w:name w:val="note"/>
    <w:basedOn w:val="Normal"/>
    <w:rsid w:val="00252DC4"/>
    <w:pPr>
      <w:pBdr>
        <w:top w:val="single" w:sz="6" w:space="0" w:color="F0E68C"/>
        <w:left w:val="single" w:sz="6" w:space="0" w:color="F0E68C"/>
        <w:bottom w:val="single" w:sz="6" w:space="0" w:color="F0E68C"/>
        <w:right w:val="single" w:sz="6" w:space="0" w:color="F0E68C"/>
      </w:pBdr>
      <w:shd w:val="clear" w:color="auto" w:fill="FFFFCC"/>
      <w:spacing w:before="100" w:beforeAutospacing="1" w:after="100" w:afterAutospacing="1"/>
    </w:pPr>
    <w:rPr>
      <w:rFonts w:eastAsia="Times New Roman" w:cs="Times New Roman"/>
    </w:rPr>
  </w:style>
  <w:style w:type="paragraph" w:customStyle="1" w:styleId="columnheader">
    <w:name w:val="column_header"/>
    <w:basedOn w:val="Normal"/>
    <w:rsid w:val="00252DC4"/>
    <w:pPr>
      <w:shd w:val="clear" w:color="auto" w:fill="EEEEEE"/>
      <w:spacing w:before="100" w:beforeAutospacing="1" w:after="100" w:afterAutospacing="1"/>
    </w:pPr>
    <w:rPr>
      <w:rFonts w:eastAsia="Times New Roman" w:cs="Times New Roman"/>
      <w:b/>
      <w:bCs/>
      <w:color w:val="000000"/>
    </w:rPr>
  </w:style>
  <w:style w:type="paragraph" w:customStyle="1" w:styleId="litegreyrow">
    <w:name w:val="lite_grey_row"/>
    <w:basedOn w:val="Normal"/>
    <w:rsid w:val="00252DC4"/>
    <w:pPr>
      <w:shd w:val="clear" w:color="auto" w:fill="EEEEEE"/>
      <w:spacing w:before="100" w:beforeAutospacing="1" w:after="100" w:afterAutospacing="1"/>
    </w:pPr>
    <w:rPr>
      <w:rFonts w:eastAsia="Times New Roman" w:cs="Times New Roman"/>
    </w:rPr>
  </w:style>
  <w:style w:type="paragraph" w:customStyle="1" w:styleId="whiterow">
    <w:name w:val="white_row"/>
    <w:basedOn w:val="Normal"/>
    <w:rsid w:val="00252DC4"/>
    <w:pPr>
      <w:shd w:val="clear" w:color="auto" w:fill="FFFFFF"/>
      <w:spacing w:before="100" w:beforeAutospacing="1" w:after="100" w:afterAutospacing="1"/>
    </w:pPr>
    <w:rPr>
      <w:rFonts w:eastAsia="Times New Roman" w:cs="Times New Roman"/>
    </w:rPr>
  </w:style>
  <w:style w:type="paragraph" w:customStyle="1" w:styleId="submitbut">
    <w:name w:val="submit_but"/>
    <w:basedOn w:val="Normal"/>
    <w:rsid w:val="00252DC4"/>
    <w:pPr>
      <w:pBdr>
        <w:top w:val="outset" w:sz="6" w:space="0" w:color="EEEEEE"/>
        <w:left w:val="outset" w:sz="6" w:space="0" w:color="EEEEEE"/>
        <w:bottom w:val="outset" w:sz="6" w:space="0" w:color="EEEEEE"/>
        <w:right w:val="outset" w:sz="6" w:space="0" w:color="EEEEEE"/>
      </w:pBdr>
      <w:shd w:val="clear" w:color="auto" w:fill="CCCCCC"/>
      <w:spacing w:before="100" w:beforeAutospacing="1" w:after="100" w:afterAutospacing="1"/>
    </w:pPr>
    <w:rPr>
      <w:rFonts w:eastAsia="Times New Roman" w:cs="Times New Roman"/>
    </w:rPr>
  </w:style>
  <w:style w:type="paragraph" w:customStyle="1" w:styleId="content">
    <w:name w:val="content"/>
    <w:basedOn w:val="Normal"/>
    <w:rsid w:val="00252DC4"/>
    <w:pPr>
      <w:spacing w:before="100" w:beforeAutospacing="1" w:after="100" w:afterAutospacing="1"/>
    </w:pPr>
    <w:rPr>
      <w:rFonts w:eastAsia="Times New Roman" w:cs="Times New Roman"/>
    </w:rPr>
  </w:style>
  <w:style w:type="paragraph" w:customStyle="1" w:styleId="message">
    <w:name w:val="message"/>
    <w:basedOn w:val="Normal"/>
    <w:rsid w:val="00252DC4"/>
    <w:pPr>
      <w:pBdr>
        <w:top w:val="single" w:sz="6" w:space="4" w:color="CC0000"/>
        <w:left w:val="single" w:sz="6" w:space="4" w:color="CC0000"/>
        <w:bottom w:val="single" w:sz="6" w:space="4" w:color="CC0000"/>
        <w:right w:val="single" w:sz="6" w:space="4" w:color="CC0000"/>
      </w:pBdr>
      <w:shd w:val="clear" w:color="auto" w:fill="FFEEEE"/>
      <w:spacing w:before="100" w:beforeAutospacing="1" w:after="100" w:afterAutospacing="1"/>
    </w:pPr>
    <w:rPr>
      <w:rFonts w:ascii="Verdana" w:eastAsia="Times New Roman" w:hAnsi="Verdana" w:cs="Times New Roman"/>
      <w:b/>
      <w:bCs/>
      <w:color w:val="CC0000"/>
      <w:sz w:val="18"/>
      <w:szCs w:val="18"/>
    </w:rPr>
  </w:style>
  <w:style w:type="paragraph" w:customStyle="1" w:styleId="highlight">
    <w:name w:val="highlight"/>
    <w:basedOn w:val="Normal"/>
    <w:rsid w:val="00252DC4"/>
    <w:pPr>
      <w:pBdr>
        <w:top w:val="single" w:sz="6" w:space="2" w:color="99CC99"/>
        <w:left w:val="single" w:sz="6" w:space="2" w:color="99CC99"/>
        <w:bottom w:val="single" w:sz="6" w:space="2" w:color="99CC99"/>
        <w:right w:val="single" w:sz="6" w:space="2" w:color="99CC99"/>
      </w:pBdr>
      <w:shd w:val="clear" w:color="auto" w:fill="CAEECA"/>
      <w:spacing w:before="30" w:after="30"/>
      <w:ind w:left="30" w:right="30"/>
    </w:pPr>
    <w:rPr>
      <w:rFonts w:ascii="Verdana" w:eastAsia="Times New Roman" w:hAnsi="Verdana" w:cs="Times New Roman"/>
      <w:b/>
      <w:bCs/>
      <w:color w:val="000000"/>
      <w:sz w:val="18"/>
      <w:szCs w:val="18"/>
    </w:rPr>
  </w:style>
  <w:style w:type="paragraph" w:customStyle="1" w:styleId="articletitle">
    <w:name w:val="article_title"/>
    <w:basedOn w:val="Normal"/>
    <w:rsid w:val="00252DC4"/>
    <w:pPr>
      <w:spacing w:before="150"/>
    </w:pPr>
    <w:rPr>
      <w:rFonts w:ascii="Arial" w:eastAsia="Times New Roman" w:hAnsi="Arial" w:cs="Arial"/>
      <w:b/>
      <w:bCs/>
      <w:sz w:val="27"/>
      <w:szCs w:val="27"/>
    </w:rPr>
  </w:style>
  <w:style w:type="paragraph" w:customStyle="1" w:styleId="articledate">
    <w:name w:val="article_date"/>
    <w:basedOn w:val="Normal"/>
    <w:rsid w:val="00252DC4"/>
    <w:pPr>
      <w:spacing w:after="150"/>
    </w:pPr>
    <w:rPr>
      <w:rFonts w:eastAsia="Times New Roman" w:cs="Times New Roman"/>
      <w:color w:val="666666"/>
    </w:rPr>
  </w:style>
  <w:style w:type="paragraph" w:customStyle="1" w:styleId="pagerlive">
    <w:name w:val="pager_live"/>
    <w:basedOn w:val="Normal"/>
    <w:rsid w:val="00252DC4"/>
    <w:pPr>
      <w:pBdr>
        <w:top w:val="single" w:sz="6" w:space="2" w:color="99CC99"/>
        <w:left w:val="single" w:sz="6" w:space="2" w:color="99CC99"/>
        <w:bottom w:val="single" w:sz="6" w:space="2" w:color="99CC99"/>
        <w:right w:val="single" w:sz="6" w:space="2" w:color="99CC99"/>
      </w:pBdr>
      <w:shd w:val="clear" w:color="auto" w:fill="CAEECA"/>
    </w:pPr>
    <w:rPr>
      <w:rFonts w:ascii="Arial" w:eastAsia="Times New Roman" w:hAnsi="Arial" w:cs="Arial"/>
      <w:b/>
      <w:bCs/>
      <w:color w:val="000000"/>
      <w:sz w:val="18"/>
      <w:szCs w:val="18"/>
    </w:rPr>
  </w:style>
  <w:style w:type="paragraph" w:customStyle="1" w:styleId="pagerdead">
    <w:name w:val="pager_dead"/>
    <w:basedOn w:val="Normal"/>
    <w:rsid w:val="00252DC4"/>
    <w:pPr>
      <w:pBdr>
        <w:top w:val="single" w:sz="6" w:space="2" w:color="CCCCCC"/>
        <w:left w:val="single" w:sz="6" w:space="2" w:color="CCCCCC"/>
        <w:bottom w:val="single" w:sz="6" w:space="2" w:color="CCCCCC"/>
        <w:right w:val="single" w:sz="6" w:space="2" w:color="CCCCCC"/>
      </w:pBdr>
      <w:shd w:val="clear" w:color="auto" w:fill="EEEEEE"/>
    </w:pPr>
    <w:rPr>
      <w:rFonts w:ascii="Arial" w:eastAsia="Times New Roman" w:hAnsi="Arial" w:cs="Arial"/>
      <w:color w:val="000000"/>
      <w:sz w:val="18"/>
      <w:szCs w:val="18"/>
    </w:rPr>
  </w:style>
  <w:style w:type="paragraph" w:customStyle="1" w:styleId="errhilite">
    <w:name w:val="errhilite"/>
    <w:basedOn w:val="Normal"/>
    <w:rsid w:val="00252DC4"/>
    <w:pPr>
      <w:pBdr>
        <w:top w:val="inset" w:sz="12" w:space="0" w:color="CC0000"/>
        <w:left w:val="inset" w:sz="12" w:space="0" w:color="CC0000"/>
        <w:bottom w:val="inset" w:sz="12" w:space="0" w:color="CC0000"/>
        <w:right w:val="inset" w:sz="12" w:space="0" w:color="CC0000"/>
      </w:pBdr>
      <w:shd w:val="clear" w:color="auto" w:fill="FFEEEE"/>
      <w:spacing w:before="100" w:beforeAutospacing="1" w:after="100" w:afterAutospacing="1"/>
    </w:pPr>
    <w:rPr>
      <w:rFonts w:eastAsia="Times New Roman" w:cs="Times New Roman"/>
      <w:color w:val="CC0000"/>
    </w:rPr>
  </w:style>
  <w:style w:type="paragraph" w:customStyle="1" w:styleId="calgreyheader">
    <w:name w:val="cal_grey_header"/>
    <w:basedOn w:val="Normal"/>
    <w:rsid w:val="00252DC4"/>
    <w:pPr>
      <w:pBdr>
        <w:top w:val="single" w:sz="6" w:space="2" w:color="000000"/>
        <w:bottom w:val="single" w:sz="6" w:space="2" w:color="000000"/>
      </w:pBdr>
      <w:shd w:val="clear" w:color="auto" w:fill="CCCCCC"/>
      <w:spacing w:before="100" w:beforeAutospacing="1" w:after="100" w:afterAutospacing="1"/>
    </w:pPr>
    <w:rPr>
      <w:rFonts w:eastAsia="Times New Roman" w:cs="Times New Roman"/>
      <w:b/>
      <w:bCs/>
      <w:color w:val="000000"/>
    </w:rPr>
  </w:style>
  <w:style w:type="paragraph" w:customStyle="1" w:styleId="callitegreyheader">
    <w:name w:val="cal_lite_grey_header"/>
    <w:basedOn w:val="Normal"/>
    <w:rsid w:val="00252DC4"/>
    <w:pPr>
      <w:pBdr>
        <w:bottom w:val="single" w:sz="6" w:space="0" w:color="000000"/>
      </w:pBdr>
      <w:shd w:val="clear" w:color="auto" w:fill="EEEEEE"/>
      <w:spacing w:before="100" w:beforeAutospacing="1" w:after="100" w:afterAutospacing="1"/>
    </w:pPr>
    <w:rPr>
      <w:rFonts w:eastAsia="Times New Roman" w:cs="Times New Roman"/>
      <w:b/>
      <w:bCs/>
      <w:color w:val="000000"/>
    </w:rPr>
  </w:style>
  <w:style w:type="paragraph" w:customStyle="1" w:styleId="calwhiteheader">
    <w:name w:val="cal_white_header"/>
    <w:basedOn w:val="Normal"/>
    <w:rsid w:val="00252DC4"/>
    <w:pPr>
      <w:pBdr>
        <w:bottom w:val="single" w:sz="6" w:space="0" w:color="000000"/>
      </w:pBdr>
      <w:spacing w:before="100" w:beforeAutospacing="1" w:after="100" w:afterAutospacing="1"/>
    </w:pPr>
    <w:rPr>
      <w:rFonts w:eastAsia="Times New Roman" w:cs="Times New Roman"/>
      <w:b/>
      <w:bCs/>
      <w:color w:val="000000"/>
    </w:rPr>
  </w:style>
  <w:style w:type="paragraph" w:customStyle="1" w:styleId="notepad">
    <w:name w:val="notepad"/>
    <w:basedOn w:val="Normal"/>
    <w:rsid w:val="00252DC4"/>
    <w:pPr>
      <w:pBdr>
        <w:top w:val="single" w:sz="6" w:space="0" w:color="F0E68C"/>
        <w:left w:val="single" w:sz="6" w:space="0" w:color="F0E68C"/>
        <w:bottom w:val="single" w:sz="6" w:space="0" w:color="F0E68C"/>
        <w:right w:val="single" w:sz="6" w:space="0" w:color="F0E68C"/>
      </w:pBdr>
      <w:shd w:val="clear" w:color="auto" w:fill="FFFFCC"/>
      <w:spacing w:before="100" w:beforeAutospacing="1" w:after="100" w:afterAutospacing="1"/>
    </w:pPr>
    <w:rPr>
      <w:rFonts w:eastAsia="Times New Roman" w:cs="Times New Roman"/>
    </w:rPr>
  </w:style>
  <w:style w:type="paragraph" w:customStyle="1" w:styleId="bulletlist">
    <w:name w:val="bullet_list"/>
    <w:basedOn w:val="Normal"/>
    <w:rsid w:val="00252DC4"/>
    <w:pPr>
      <w:spacing w:before="75"/>
      <w:ind w:left="195"/>
    </w:pPr>
    <w:rPr>
      <w:rFonts w:eastAsia="Times New Roman" w:cs="Times New Roman"/>
      <w:color w:val="DDDDDD"/>
    </w:rPr>
  </w:style>
  <w:style w:type="paragraph" w:customStyle="1" w:styleId="bulletlistnobullet">
    <w:name w:val="bullet_list_no_bullet"/>
    <w:basedOn w:val="Normal"/>
    <w:rsid w:val="00252DC4"/>
    <w:pPr>
      <w:spacing w:before="75"/>
    </w:pPr>
    <w:rPr>
      <w:rFonts w:eastAsia="Times New Roman" w:cs="Times New Roman"/>
      <w:color w:val="DDDDDD"/>
    </w:rPr>
  </w:style>
  <w:style w:type="paragraph" w:customStyle="1" w:styleId="iconmenu">
    <w:name w:val="icon_menu"/>
    <w:basedOn w:val="Normal"/>
    <w:rsid w:val="00252DC4"/>
    <w:rPr>
      <w:rFonts w:eastAsia="Times New Roman" w:cs="Times New Roman"/>
      <w:b/>
      <w:bCs/>
      <w:sz w:val="18"/>
      <w:szCs w:val="18"/>
    </w:rPr>
  </w:style>
  <w:style w:type="paragraph" w:customStyle="1" w:styleId="contentcopyright">
    <w:name w:val="content_copyright"/>
    <w:basedOn w:val="Normal"/>
    <w:rsid w:val="00252DC4"/>
    <w:pPr>
      <w:spacing w:before="300"/>
      <w:ind w:left="300" w:right="300"/>
    </w:pPr>
    <w:rPr>
      <w:rFonts w:eastAsia="Times New Roman" w:cs="Times New Roman"/>
      <w:color w:val="666666"/>
    </w:rPr>
  </w:style>
  <w:style w:type="paragraph" w:customStyle="1" w:styleId="eventicon1">
    <w:name w:val="event_icon_1"/>
    <w:basedOn w:val="Normal"/>
    <w:rsid w:val="00252DC4"/>
    <w:pPr>
      <w:pBdr>
        <w:top w:val="single" w:sz="6" w:space="0" w:color="CC0000"/>
        <w:left w:val="single" w:sz="6" w:space="2" w:color="CC0000"/>
        <w:bottom w:val="single" w:sz="6" w:space="0" w:color="CC0000"/>
        <w:right w:val="single" w:sz="6" w:space="2" w:color="CC0000"/>
      </w:pBdr>
      <w:spacing w:before="100" w:beforeAutospacing="1" w:after="100" w:afterAutospacing="1"/>
    </w:pPr>
    <w:rPr>
      <w:rFonts w:eastAsia="Times New Roman" w:cs="Times New Roman"/>
      <w:b/>
      <w:bCs/>
      <w:sz w:val="18"/>
      <w:szCs w:val="18"/>
    </w:rPr>
  </w:style>
  <w:style w:type="paragraph" w:customStyle="1" w:styleId="eventicon2">
    <w:name w:val="event_icon_2"/>
    <w:basedOn w:val="Normal"/>
    <w:rsid w:val="00252DC4"/>
    <w:pPr>
      <w:pBdr>
        <w:top w:val="single" w:sz="6" w:space="0" w:color="0000CC"/>
        <w:left w:val="single" w:sz="6" w:space="2" w:color="0000CC"/>
        <w:bottom w:val="single" w:sz="6" w:space="0" w:color="0000CC"/>
        <w:right w:val="single" w:sz="6" w:space="2" w:color="0000CC"/>
      </w:pBdr>
      <w:spacing w:before="100" w:beforeAutospacing="1" w:after="100" w:afterAutospacing="1"/>
    </w:pPr>
    <w:rPr>
      <w:rFonts w:eastAsia="Times New Roman" w:cs="Times New Roman"/>
      <w:b/>
      <w:bCs/>
      <w:sz w:val="18"/>
      <w:szCs w:val="18"/>
    </w:rPr>
  </w:style>
  <w:style w:type="paragraph" w:customStyle="1" w:styleId="eventicon3">
    <w:name w:val="event_icon_3"/>
    <w:basedOn w:val="Normal"/>
    <w:rsid w:val="00252DC4"/>
    <w:pPr>
      <w:pBdr>
        <w:top w:val="single" w:sz="6" w:space="0" w:color="9933CC"/>
        <w:left w:val="single" w:sz="6" w:space="3" w:color="9933CC"/>
        <w:bottom w:val="single" w:sz="6" w:space="0" w:color="9933CC"/>
        <w:right w:val="single" w:sz="6" w:space="3" w:color="9933CC"/>
      </w:pBdr>
      <w:spacing w:before="100" w:beforeAutospacing="1" w:after="100" w:afterAutospacing="1"/>
    </w:pPr>
    <w:rPr>
      <w:rFonts w:eastAsia="Times New Roman" w:cs="Times New Roman"/>
      <w:b/>
      <w:bCs/>
      <w:sz w:val="18"/>
      <w:szCs w:val="18"/>
    </w:rPr>
  </w:style>
  <w:style w:type="paragraph" w:customStyle="1" w:styleId="eventicon4">
    <w:name w:val="event_icon_4"/>
    <w:basedOn w:val="Normal"/>
    <w:rsid w:val="00252DC4"/>
    <w:pPr>
      <w:pBdr>
        <w:top w:val="single" w:sz="6" w:space="0" w:color="FF6600"/>
        <w:left w:val="single" w:sz="6" w:space="2" w:color="FF6600"/>
        <w:bottom w:val="single" w:sz="6" w:space="0" w:color="FF6600"/>
        <w:right w:val="single" w:sz="6" w:space="2" w:color="FF6600"/>
      </w:pBdr>
      <w:spacing w:before="100" w:beforeAutospacing="1" w:after="100" w:afterAutospacing="1"/>
    </w:pPr>
    <w:rPr>
      <w:rFonts w:eastAsia="Times New Roman" w:cs="Times New Roman"/>
      <w:b/>
      <w:bCs/>
      <w:sz w:val="18"/>
      <w:szCs w:val="18"/>
    </w:rPr>
  </w:style>
  <w:style w:type="paragraph" w:customStyle="1" w:styleId="eventicon5">
    <w:name w:val="event_icon_5"/>
    <w:basedOn w:val="Normal"/>
    <w:rsid w:val="00252DC4"/>
    <w:pPr>
      <w:pBdr>
        <w:top w:val="single" w:sz="6" w:space="0" w:color="330000"/>
        <w:left w:val="single" w:sz="6" w:space="2" w:color="330000"/>
        <w:bottom w:val="single" w:sz="6" w:space="0" w:color="330000"/>
        <w:right w:val="single" w:sz="6" w:space="2" w:color="330000"/>
      </w:pBdr>
      <w:spacing w:before="100" w:beforeAutospacing="1" w:after="100" w:afterAutospacing="1"/>
    </w:pPr>
    <w:rPr>
      <w:rFonts w:eastAsia="Times New Roman" w:cs="Times New Roman"/>
      <w:b/>
      <w:bCs/>
      <w:sz w:val="18"/>
      <w:szCs w:val="18"/>
    </w:rPr>
  </w:style>
  <w:style w:type="paragraph" w:customStyle="1" w:styleId="eventicon7">
    <w:name w:val="event_icon_7"/>
    <w:basedOn w:val="Normal"/>
    <w:rsid w:val="00252DC4"/>
    <w:pPr>
      <w:pBdr>
        <w:top w:val="single" w:sz="6" w:space="0" w:color="CCCC00"/>
        <w:left w:val="single" w:sz="6" w:space="2" w:color="CCCC00"/>
        <w:bottom w:val="single" w:sz="6" w:space="0" w:color="CCCC00"/>
        <w:right w:val="single" w:sz="6" w:space="2" w:color="CCCC00"/>
      </w:pBdr>
      <w:spacing w:before="100" w:beforeAutospacing="1" w:after="100" w:afterAutospacing="1"/>
    </w:pPr>
    <w:rPr>
      <w:rFonts w:eastAsia="Times New Roman" w:cs="Times New Roman"/>
      <w:b/>
      <w:bCs/>
      <w:sz w:val="18"/>
      <w:szCs w:val="18"/>
    </w:rPr>
  </w:style>
  <w:style w:type="paragraph" w:customStyle="1" w:styleId="eventicon8">
    <w:name w:val="event_icon_8"/>
    <w:basedOn w:val="Normal"/>
    <w:rsid w:val="00252DC4"/>
    <w:pPr>
      <w:pBdr>
        <w:top w:val="single" w:sz="6" w:space="0" w:color="4C9900"/>
        <w:left w:val="single" w:sz="6" w:space="2" w:color="4C9900"/>
        <w:bottom w:val="single" w:sz="6" w:space="0" w:color="4C9900"/>
        <w:right w:val="single" w:sz="6" w:space="2" w:color="4C9900"/>
      </w:pBdr>
      <w:spacing w:before="100" w:beforeAutospacing="1" w:after="100" w:afterAutospacing="1"/>
    </w:pPr>
    <w:rPr>
      <w:rFonts w:eastAsia="Times New Roman" w:cs="Times New Roman"/>
      <w:b/>
      <w:bCs/>
      <w:sz w:val="18"/>
      <w:szCs w:val="18"/>
    </w:rPr>
  </w:style>
  <w:style w:type="paragraph" w:customStyle="1" w:styleId="calwhiteheader1">
    <w:name w:val="cal_white_header1"/>
    <w:basedOn w:val="Normal"/>
    <w:rsid w:val="00252DC4"/>
    <w:pPr>
      <w:pBdr>
        <w:bottom w:val="single" w:sz="6" w:space="0" w:color="000000"/>
      </w:pBdr>
      <w:spacing w:before="100" w:beforeAutospacing="1" w:after="100" w:afterAutospacing="1"/>
    </w:pPr>
    <w:rPr>
      <w:rFonts w:eastAsia="Times New Roman" w:cs="Times New Roman"/>
      <w:b/>
      <w:bCs/>
      <w:color w:val="000000"/>
      <w:sz w:val="21"/>
      <w:szCs w:val="21"/>
    </w:rPr>
  </w:style>
  <w:style w:type="paragraph" w:styleId="NormalWeb">
    <w:name w:val="Normal (Web)"/>
    <w:basedOn w:val="Normal"/>
    <w:uiPriority w:val="99"/>
    <w:semiHidden/>
    <w:unhideWhenUsed/>
    <w:rsid w:val="00252DC4"/>
    <w:pPr>
      <w:spacing w:before="100" w:beforeAutospacing="1" w:after="100" w:afterAutospacing="1"/>
    </w:pPr>
    <w:rPr>
      <w:rFonts w:eastAsia="Times New Roman" w:cs="Times New Roman"/>
    </w:rPr>
  </w:style>
  <w:style w:type="paragraph" w:customStyle="1" w:styleId="Header2">
    <w:name w:val="Header2"/>
    <w:basedOn w:val="Normal"/>
    <w:rsid w:val="001E327E"/>
    <w:pPr>
      <w:shd w:val="clear" w:color="auto" w:fill="003366"/>
      <w:spacing w:before="100" w:beforeAutospacing="1" w:after="100" w:afterAutospacing="1"/>
    </w:pPr>
    <w:rPr>
      <w:rFonts w:eastAsia="Times New Roman" w:cs="Times New Roman"/>
    </w:rPr>
  </w:style>
  <w:style w:type="paragraph" w:customStyle="1" w:styleId="calsponsoredheader">
    <w:name w:val="cal_sponsored_header"/>
    <w:basedOn w:val="Normal"/>
    <w:rsid w:val="001D25D1"/>
    <w:pPr>
      <w:pBdr>
        <w:bottom w:val="single" w:sz="6" w:space="0" w:color="333333"/>
      </w:pBdr>
      <w:shd w:val="clear" w:color="auto" w:fill="FFFFE8"/>
      <w:spacing w:before="100" w:beforeAutospacing="1" w:after="100" w:afterAutospacing="1"/>
    </w:pPr>
    <w:rPr>
      <w:rFonts w:eastAsia="Times New Roman" w:cs="Times New Roman"/>
      <w:b/>
      <w:bCs/>
      <w:color w:val="000000"/>
    </w:rPr>
  </w:style>
  <w:style w:type="paragraph" w:customStyle="1" w:styleId="sponsored-event-header">
    <w:name w:val="sponsored-event-header"/>
    <w:basedOn w:val="Normal"/>
    <w:rsid w:val="001D25D1"/>
    <w:rPr>
      <w:rFonts w:eastAsia="Times New Roman" w:cs="Times New Roman"/>
    </w:rPr>
  </w:style>
  <w:style w:type="paragraph" w:customStyle="1" w:styleId="sponsored-event-content">
    <w:name w:val="sponsored-event-content"/>
    <w:basedOn w:val="Normal"/>
    <w:rsid w:val="001D25D1"/>
    <w:rPr>
      <w:rFonts w:eastAsia="Times New Roman" w:cs="Times New Roman"/>
      <w:vanish/>
    </w:rPr>
  </w:style>
  <w:style w:type="paragraph" w:customStyle="1" w:styleId="sponsored-event-click">
    <w:name w:val="sponsored-event-click"/>
    <w:basedOn w:val="Normal"/>
    <w:rsid w:val="001D25D1"/>
    <w:pPr>
      <w:pBdr>
        <w:top w:val="single" w:sz="6" w:space="8" w:color="CCCCCC"/>
        <w:left w:val="single" w:sz="6" w:space="8" w:color="CCCCCC"/>
        <w:bottom w:val="single" w:sz="6" w:space="8" w:color="CCCCCC"/>
        <w:right w:val="single" w:sz="6" w:space="0" w:color="CCCCCC"/>
      </w:pBdr>
      <w:shd w:val="clear" w:color="auto" w:fill="F9F9F9"/>
      <w:spacing w:before="100" w:beforeAutospacing="1" w:after="100" w:afterAutospacing="1"/>
    </w:pPr>
    <w:rPr>
      <w:rFonts w:eastAsia="Times New Roman" w:cs="Times New Roman"/>
      <w:sz w:val="25"/>
      <w:szCs w:val="25"/>
    </w:rPr>
  </w:style>
  <w:style w:type="paragraph" w:customStyle="1" w:styleId="sponsored-event-hover-text">
    <w:name w:val="sponsored-event-hover-text"/>
    <w:basedOn w:val="Normal"/>
    <w:rsid w:val="001D25D1"/>
    <w:pPr>
      <w:spacing w:before="100" w:beforeAutospacing="1" w:after="100" w:afterAutospacing="1"/>
      <w:ind w:left="300"/>
    </w:pPr>
    <w:rPr>
      <w:rFonts w:eastAsia="Times New Roman" w:cs="Times New Roman"/>
      <w:color w:val="CC0000"/>
    </w:rPr>
  </w:style>
  <w:style w:type="paragraph" w:customStyle="1" w:styleId="bluemessage">
    <w:name w:val="blue_message"/>
    <w:basedOn w:val="Normal"/>
    <w:rsid w:val="001D25D1"/>
    <w:pPr>
      <w:pBdr>
        <w:top w:val="single" w:sz="6" w:space="8" w:color="003366"/>
        <w:left w:val="single" w:sz="6" w:space="8" w:color="003366"/>
        <w:bottom w:val="single" w:sz="6" w:space="8" w:color="003366"/>
        <w:right w:val="single" w:sz="6" w:space="8" w:color="003366"/>
      </w:pBdr>
      <w:shd w:val="clear" w:color="auto" w:fill="E5EAF1"/>
      <w:spacing w:before="300" w:after="300"/>
      <w:ind w:left="300" w:right="300"/>
    </w:pPr>
    <w:rPr>
      <w:rFonts w:ascii="Verdana" w:eastAsia="Times New Roman" w:hAnsi="Verdana" w:cs="Times New Roman"/>
      <w:color w:val="000000"/>
      <w:sz w:val="18"/>
      <w:szCs w:val="18"/>
    </w:rPr>
  </w:style>
  <w:style w:type="paragraph" w:customStyle="1" w:styleId="Header3">
    <w:name w:val="Header3"/>
    <w:basedOn w:val="Normal"/>
    <w:rsid w:val="008B64BE"/>
    <w:pPr>
      <w:shd w:val="clear" w:color="auto" w:fill="003366"/>
      <w:spacing w:before="100" w:beforeAutospacing="1" w:after="100" w:afterAutospacing="1"/>
    </w:pPr>
    <w:rPr>
      <w:rFonts w:eastAsia="Times New Roman" w:cs="Times New Roman"/>
    </w:rPr>
  </w:style>
  <w:style w:type="paragraph" w:customStyle="1" w:styleId="jquery-button">
    <w:name w:val="jquery-button"/>
    <w:basedOn w:val="Normal"/>
    <w:rsid w:val="00C02420"/>
    <w:pPr>
      <w:spacing w:before="100" w:beforeAutospacing="1" w:after="100" w:afterAutospacing="1"/>
    </w:pPr>
    <w:rPr>
      <w:rFonts w:eastAsia="Times New Roman" w:cs="Times New Roman"/>
      <w:color w:val="000000"/>
      <w:sz w:val="20"/>
      <w:szCs w:val="20"/>
    </w:rPr>
  </w:style>
  <w:style w:type="paragraph" w:customStyle="1" w:styleId="billflag">
    <w:name w:val="bill_flag"/>
    <w:basedOn w:val="Normal"/>
    <w:rsid w:val="00C02420"/>
    <w:pPr>
      <w:ind w:left="50" w:right="50"/>
      <w:textAlignment w:val="top"/>
    </w:pPr>
    <w:rPr>
      <w:rFonts w:eastAsia="Times New Roman" w:cs="Times New Roman"/>
    </w:rPr>
  </w:style>
  <w:style w:type="paragraph" w:customStyle="1" w:styleId="tooltip">
    <w:name w:val="tooltip"/>
    <w:basedOn w:val="Normal"/>
    <w:rsid w:val="007C479E"/>
    <w:pPr>
      <w:pBdr>
        <w:top w:val="single" w:sz="4" w:space="1" w:color="EEEEEE"/>
        <w:left w:val="single" w:sz="4" w:space="10" w:color="EEEEEE"/>
        <w:bottom w:val="single" w:sz="4" w:space="1" w:color="EEEEEE"/>
        <w:right w:val="single" w:sz="4" w:space="3" w:color="EEEEEE"/>
      </w:pBdr>
      <w:shd w:val="clear" w:color="auto" w:fill="FFFFFF"/>
      <w:spacing w:before="100" w:beforeAutospacing="1" w:after="100" w:afterAutospacing="1"/>
    </w:pPr>
    <w:rPr>
      <w:rFonts w:eastAsia="Times New Roman" w:cs="Times New Roman"/>
    </w:rPr>
  </w:style>
  <w:style w:type="paragraph" w:customStyle="1" w:styleId="small-tooltip">
    <w:name w:val="small-tooltip"/>
    <w:basedOn w:val="Normal"/>
    <w:rsid w:val="007C479E"/>
    <w:pPr>
      <w:spacing w:before="100" w:beforeAutospacing="1" w:after="100" w:afterAutospacing="1"/>
    </w:pPr>
    <w:rPr>
      <w:rFonts w:eastAsia="Times New Roman" w:cs="Times New Roman"/>
      <w:sz w:val="12"/>
      <w:szCs w:val="12"/>
    </w:rPr>
  </w:style>
  <w:style w:type="paragraph" w:customStyle="1" w:styleId="large-tooltip">
    <w:name w:val="large-tooltip"/>
    <w:basedOn w:val="Normal"/>
    <w:rsid w:val="007C479E"/>
    <w:pPr>
      <w:spacing w:before="100" w:beforeAutospacing="1" w:after="100" w:afterAutospacing="1"/>
    </w:pPr>
    <w:rPr>
      <w:rFonts w:eastAsia="Times New Roman" w:cs="Times New Roman"/>
      <w:b/>
      <w:bCs/>
      <w:sz w:val="13"/>
      <w:szCs w:val="13"/>
    </w:rPr>
  </w:style>
  <w:style w:type="paragraph" w:customStyle="1" w:styleId="more-items">
    <w:name w:val="more-items"/>
    <w:basedOn w:val="Normal"/>
    <w:rsid w:val="007C479E"/>
    <w:pPr>
      <w:spacing w:before="100" w:beforeAutospacing="1" w:after="200"/>
      <w:jc w:val="right"/>
    </w:pPr>
    <w:rPr>
      <w:rFonts w:eastAsia="Times New Roman" w:cs="Times New Roman"/>
      <w:b/>
      <w:bCs/>
    </w:rPr>
  </w:style>
  <w:style w:type="paragraph" w:customStyle="1" w:styleId="button-link">
    <w:name w:val="button-link"/>
    <w:basedOn w:val="Normal"/>
    <w:rsid w:val="007C479E"/>
    <w:pPr>
      <w:pBdr>
        <w:top w:val="single" w:sz="4" w:space="5" w:color="999999"/>
        <w:left w:val="single" w:sz="4" w:space="8" w:color="999999"/>
        <w:bottom w:val="single" w:sz="4" w:space="5" w:color="999999"/>
        <w:right w:val="single" w:sz="4" w:space="8" w:color="999999"/>
      </w:pBdr>
      <w:shd w:val="clear" w:color="auto" w:fill="CCCCCC"/>
      <w:spacing w:before="100" w:beforeAutospacing="1" w:after="100" w:afterAutospacing="1"/>
    </w:pPr>
    <w:rPr>
      <w:rFonts w:eastAsia="Times New Roman" w:cs="Times New Roman"/>
      <w:color w:val="000000"/>
    </w:rPr>
  </w:style>
  <w:style w:type="character" w:customStyle="1" w:styleId="text">
    <w:name w:val="text"/>
    <w:basedOn w:val="DefaultParagraphFont"/>
    <w:rsid w:val="00436BA2"/>
  </w:style>
  <w:style w:type="paragraph" w:styleId="z-TopofForm">
    <w:name w:val="HTML Top of Form"/>
    <w:basedOn w:val="Normal"/>
    <w:next w:val="Normal"/>
    <w:link w:val="z-TopofFormChar"/>
    <w:hidden/>
    <w:uiPriority w:val="99"/>
    <w:semiHidden/>
    <w:unhideWhenUsed/>
    <w:rsid w:val="00915698"/>
    <w:pPr>
      <w:pBdr>
        <w:bottom w:val="single" w:sz="6" w:space="1" w:color="auto"/>
      </w:pBdr>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915698"/>
    <w:rPr>
      <w:rFonts w:ascii="Arial" w:eastAsia="Times New Roman" w:hAnsi="Arial" w:cs="Arial"/>
      <w:vanish/>
      <w:sz w:val="16"/>
      <w:szCs w:val="16"/>
    </w:rPr>
  </w:style>
  <w:style w:type="character" w:customStyle="1" w:styleId="tiny1">
    <w:name w:val="tiny1"/>
    <w:basedOn w:val="DefaultParagraphFont"/>
    <w:rsid w:val="00915698"/>
    <w:rPr>
      <w:rFonts w:ascii="Arial" w:hAnsi="Arial" w:cs="Arial" w:hint="default"/>
      <w:sz w:val="10"/>
      <w:szCs w:val="10"/>
    </w:rPr>
  </w:style>
  <w:style w:type="paragraph" w:styleId="z-BottomofForm">
    <w:name w:val="HTML Bottom of Form"/>
    <w:basedOn w:val="Normal"/>
    <w:next w:val="Normal"/>
    <w:link w:val="z-BottomofFormChar"/>
    <w:hidden/>
    <w:uiPriority w:val="99"/>
    <w:semiHidden/>
    <w:unhideWhenUsed/>
    <w:rsid w:val="00915698"/>
    <w:pPr>
      <w:pBdr>
        <w:top w:val="single" w:sz="6" w:space="1" w:color="auto"/>
      </w:pBdr>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915698"/>
    <w:rPr>
      <w:rFonts w:ascii="Arial" w:eastAsia="Times New Roman" w:hAnsi="Arial" w:cs="Arial"/>
      <w:vanish/>
      <w:sz w:val="16"/>
      <w:szCs w:val="16"/>
    </w:rPr>
  </w:style>
  <w:style w:type="paragraph" w:styleId="BalloonText">
    <w:name w:val="Balloon Text"/>
    <w:basedOn w:val="Normal"/>
    <w:link w:val="BalloonTextChar"/>
    <w:uiPriority w:val="99"/>
    <w:semiHidden/>
    <w:unhideWhenUsed/>
    <w:rsid w:val="00915698"/>
    <w:rPr>
      <w:rFonts w:ascii="Tahoma" w:hAnsi="Tahoma" w:cs="Tahoma"/>
      <w:sz w:val="16"/>
      <w:szCs w:val="16"/>
    </w:rPr>
  </w:style>
  <w:style w:type="character" w:customStyle="1" w:styleId="BalloonTextChar">
    <w:name w:val="Balloon Text Char"/>
    <w:basedOn w:val="DefaultParagraphFont"/>
    <w:link w:val="BalloonText"/>
    <w:uiPriority w:val="99"/>
    <w:semiHidden/>
    <w:rsid w:val="00915698"/>
    <w:rPr>
      <w:rFonts w:ascii="Tahoma" w:hAnsi="Tahoma" w:cs="Tahoma"/>
      <w:sz w:val="16"/>
      <w:szCs w:val="16"/>
    </w:rPr>
  </w:style>
  <w:style w:type="paragraph" w:customStyle="1" w:styleId="Default">
    <w:name w:val="Default"/>
    <w:rsid w:val="00E46C87"/>
    <w:pPr>
      <w:autoSpaceDE w:val="0"/>
      <w:autoSpaceDN w:val="0"/>
      <w:adjustRightInd w:val="0"/>
    </w:pPr>
    <w:rPr>
      <w:rFonts w:ascii="Arial" w:hAnsi="Arial" w:cs="Arial"/>
      <w:color w:val="000000"/>
    </w:rPr>
  </w:style>
  <w:style w:type="character" w:styleId="CommentReference">
    <w:name w:val="annotation reference"/>
    <w:basedOn w:val="DefaultParagraphFont"/>
    <w:uiPriority w:val="99"/>
    <w:semiHidden/>
    <w:unhideWhenUsed/>
    <w:rsid w:val="00071707"/>
    <w:rPr>
      <w:sz w:val="16"/>
      <w:szCs w:val="16"/>
    </w:rPr>
  </w:style>
  <w:style w:type="paragraph" w:styleId="CommentText">
    <w:name w:val="annotation text"/>
    <w:basedOn w:val="Normal"/>
    <w:link w:val="CommentTextChar"/>
    <w:uiPriority w:val="99"/>
    <w:semiHidden/>
    <w:unhideWhenUsed/>
    <w:rsid w:val="00071707"/>
    <w:rPr>
      <w:sz w:val="20"/>
      <w:szCs w:val="20"/>
    </w:rPr>
  </w:style>
  <w:style w:type="character" w:customStyle="1" w:styleId="CommentTextChar">
    <w:name w:val="Comment Text Char"/>
    <w:basedOn w:val="DefaultParagraphFont"/>
    <w:link w:val="CommentText"/>
    <w:uiPriority w:val="99"/>
    <w:semiHidden/>
    <w:rsid w:val="00071707"/>
    <w:rPr>
      <w:sz w:val="20"/>
      <w:szCs w:val="20"/>
    </w:rPr>
  </w:style>
  <w:style w:type="paragraph" w:styleId="CommentSubject">
    <w:name w:val="annotation subject"/>
    <w:basedOn w:val="CommentText"/>
    <w:next w:val="CommentText"/>
    <w:link w:val="CommentSubjectChar"/>
    <w:uiPriority w:val="99"/>
    <w:semiHidden/>
    <w:unhideWhenUsed/>
    <w:rsid w:val="00071707"/>
    <w:rPr>
      <w:b/>
      <w:bCs/>
    </w:rPr>
  </w:style>
  <w:style w:type="character" w:customStyle="1" w:styleId="CommentSubjectChar">
    <w:name w:val="Comment Subject Char"/>
    <w:basedOn w:val="CommentTextChar"/>
    <w:link w:val="CommentSubject"/>
    <w:uiPriority w:val="99"/>
    <w:semiHidden/>
    <w:rsid w:val="0007170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4353592">
      <w:bodyDiv w:val="1"/>
      <w:marLeft w:val="0"/>
      <w:marRight w:val="0"/>
      <w:marTop w:val="0"/>
      <w:marBottom w:val="0"/>
      <w:divBdr>
        <w:top w:val="none" w:sz="0" w:space="0" w:color="auto"/>
        <w:left w:val="none" w:sz="0" w:space="0" w:color="auto"/>
        <w:bottom w:val="none" w:sz="0" w:space="0" w:color="auto"/>
        <w:right w:val="none" w:sz="0" w:space="0" w:color="auto"/>
      </w:divBdr>
    </w:div>
    <w:div w:id="403259763">
      <w:bodyDiv w:val="1"/>
      <w:marLeft w:val="0"/>
      <w:marRight w:val="0"/>
      <w:marTop w:val="0"/>
      <w:marBottom w:val="0"/>
      <w:divBdr>
        <w:top w:val="none" w:sz="0" w:space="0" w:color="auto"/>
        <w:left w:val="none" w:sz="0" w:space="0" w:color="auto"/>
        <w:bottom w:val="none" w:sz="0" w:space="0" w:color="auto"/>
        <w:right w:val="none" w:sz="0" w:space="0" w:color="auto"/>
      </w:divBdr>
      <w:divsChild>
        <w:div w:id="1736007620">
          <w:marLeft w:val="0"/>
          <w:marRight w:val="0"/>
          <w:marTop w:val="0"/>
          <w:marBottom w:val="0"/>
          <w:divBdr>
            <w:top w:val="none" w:sz="0" w:space="0" w:color="auto"/>
            <w:left w:val="none" w:sz="0" w:space="0" w:color="auto"/>
            <w:bottom w:val="none" w:sz="0" w:space="0" w:color="auto"/>
            <w:right w:val="none" w:sz="0" w:space="0" w:color="auto"/>
          </w:divBdr>
          <w:divsChild>
            <w:div w:id="1656686502">
              <w:marLeft w:val="0"/>
              <w:marRight w:val="0"/>
              <w:marTop w:val="0"/>
              <w:marBottom w:val="0"/>
              <w:divBdr>
                <w:top w:val="none" w:sz="0" w:space="0" w:color="auto"/>
                <w:left w:val="none" w:sz="0" w:space="0" w:color="auto"/>
                <w:bottom w:val="none" w:sz="0" w:space="0" w:color="auto"/>
                <w:right w:val="none" w:sz="0" w:space="0" w:color="auto"/>
              </w:divBdr>
              <w:divsChild>
                <w:div w:id="1388576926">
                  <w:marLeft w:val="0"/>
                  <w:marRight w:val="0"/>
                  <w:marTop w:val="0"/>
                  <w:marBottom w:val="0"/>
                  <w:divBdr>
                    <w:top w:val="none" w:sz="0" w:space="0" w:color="auto"/>
                    <w:left w:val="none" w:sz="0" w:space="0" w:color="auto"/>
                    <w:bottom w:val="none" w:sz="0" w:space="0" w:color="auto"/>
                    <w:right w:val="none" w:sz="0" w:space="0" w:color="auto"/>
                  </w:divBdr>
                  <w:divsChild>
                    <w:div w:id="521824339">
                      <w:marLeft w:val="0"/>
                      <w:marRight w:val="0"/>
                      <w:marTop w:val="0"/>
                      <w:marBottom w:val="0"/>
                      <w:divBdr>
                        <w:top w:val="none" w:sz="0" w:space="0" w:color="auto"/>
                        <w:left w:val="none" w:sz="0" w:space="0" w:color="auto"/>
                        <w:bottom w:val="none" w:sz="0" w:space="0" w:color="auto"/>
                        <w:right w:val="none" w:sz="0" w:space="0" w:color="auto"/>
                      </w:divBdr>
                      <w:divsChild>
                        <w:div w:id="2011905683">
                          <w:marLeft w:val="0"/>
                          <w:marRight w:val="0"/>
                          <w:marTop w:val="0"/>
                          <w:marBottom w:val="0"/>
                          <w:divBdr>
                            <w:top w:val="none" w:sz="0" w:space="0" w:color="auto"/>
                            <w:left w:val="none" w:sz="0" w:space="0" w:color="auto"/>
                            <w:bottom w:val="none" w:sz="0" w:space="0" w:color="auto"/>
                            <w:right w:val="none" w:sz="0" w:space="0" w:color="auto"/>
                          </w:divBdr>
                          <w:divsChild>
                            <w:div w:id="2113544811">
                              <w:marLeft w:val="0"/>
                              <w:marRight w:val="0"/>
                              <w:marTop w:val="0"/>
                              <w:marBottom w:val="0"/>
                              <w:divBdr>
                                <w:top w:val="none" w:sz="0" w:space="0" w:color="auto"/>
                                <w:left w:val="none" w:sz="0" w:space="0" w:color="auto"/>
                                <w:bottom w:val="none" w:sz="0" w:space="0" w:color="auto"/>
                                <w:right w:val="none" w:sz="0" w:space="0" w:color="auto"/>
                              </w:divBdr>
                              <w:divsChild>
                                <w:div w:id="971446960">
                                  <w:marLeft w:val="0"/>
                                  <w:marRight w:val="0"/>
                                  <w:marTop w:val="0"/>
                                  <w:marBottom w:val="0"/>
                                  <w:divBdr>
                                    <w:top w:val="none" w:sz="0" w:space="0" w:color="auto"/>
                                    <w:left w:val="none" w:sz="0" w:space="0" w:color="auto"/>
                                    <w:bottom w:val="none" w:sz="0" w:space="0" w:color="auto"/>
                                    <w:right w:val="none" w:sz="0" w:space="0" w:color="auto"/>
                                  </w:divBdr>
                                </w:div>
                                <w:div w:id="1818643953">
                                  <w:marLeft w:val="0"/>
                                  <w:marRight w:val="0"/>
                                  <w:marTop w:val="0"/>
                                  <w:marBottom w:val="0"/>
                                  <w:divBdr>
                                    <w:top w:val="none" w:sz="0" w:space="0" w:color="auto"/>
                                    <w:left w:val="none" w:sz="0" w:space="0" w:color="auto"/>
                                    <w:bottom w:val="none" w:sz="0" w:space="0" w:color="auto"/>
                                    <w:right w:val="none" w:sz="0" w:space="0" w:color="auto"/>
                                  </w:divBdr>
                                </w:div>
                                <w:div w:id="1186677282">
                                  <w:marLeft w:val="0"/>
                                  <w:marRight w:val="0"/>
                                  <w:marTop w:val="0"/>
                                  <w:marBottom w:val="0"/>
                                  <w:divBdr>
                                    <w:top w:val="none" w:sz="0" w:space="0" w:color="auto"/>
                                    <w:left w:val="none" w:sz="0" w:space="0" w:color="auto"/>
                                    <w:bottom w:val="none" w:sz="0" w:space="0" w:color="auto"/>
                                    <w:right w:val="none" w:sz="0" w:space="0" w:color="auto"/>
                                  </w:divBdr>
                                </w:div>
                                <w:div w:id="1021013190">
                                  <w:marLeft w:val="0"/>
                                  <w:marRight w:val="0"/>
                                  <w:marTop w:val="0"/>
                                  <w:marBottom w:val="0"/>
                                  <w:divBdr>
                                    <w:top w:val="none" w:sz="0" w:space="0" w:color="auto"/>
                                    <w:left w:val="none" w:sz="0" w:space="0" w:color="auto"/>
                                    <w:bottom w:val="none" w:sz="0" w:space="0" w:color="auto"/>
                                    <w:right w:val="none" w:sz="0" w:space="0" w:color="auto"/>
                                  </w:divBdr>
                                </w:div>
                                <w:div w:id="36198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32034124">
      <w:bodyDiv w:val="1"/>
      <w:marLeft w:val="0"/>
      <w:marRight w:val="0"/>
      <w:marTop w:val="0"/>
      <w:marBottom w:val="0"/>
      <w:divBdr>
        <w:top w:val="none" w:sz="0" w:space="0" w:color="auto"/>
        <w:left w:val="none" w:sz="0" w:space="0" w:color="auto"/>
        <w:bottom w:val="none" w:sz="0" w:space="0" w:color="auto"/>
        <w:right w:val="none" w:sz="0" w:space="0" w:color="auto"/>
      </w:divBdr>
    </w:div>
    <w:div w:id="561216315">
      <w:bodyDiv w:val="1"/>
      <w:marLeft w:val="0"/>
      <w:marRight w:val="0"/>
      <w:marTop w:val="0"/>
      <w:marBottom w:val="0"/>
      <w:divBdr>
        <w:top w:val="none" w:sz="0" w:space="0" w:color="auto"/>
        <w:left w:val="none" w:sz="0" w:space="0" w:color="auto"/>
        <w:bottom w:val="none" w:sz="0" w:space="0" w:color="auto"/>
        <w:right w:val="none" w:sz="0" w:space="0" w:color="auto"/>
      </w:divBdr>
      <w:divsChild>
        <w:div w:id="761604223">
          <w:marLeft w:val="75"/>
          <w:marRight w:val="75"/>
          <w:marTop w:val="75"/>
          <w:marBottom w:val="75"/>
          <w:divBdr>
            <w:top w:val="none" w:sz="0" w:space="0" w:color="auto"/>
            <w:left w:val="none" w:sz="0" w:space="0" w:color="auto"/>
            <w:bottom w:val="none" w:sz="0" w:space="0" w:color="auto"/>
            <w:right w:val="none" w:sz="0" w:space="0" w:color="auto"/>
          </w:divBdr>
        </w:div>
      </w:divsChild>
    </w:div>
    <w:div w:id="647512821">
      <w:bodyDiv w:val="1"/>
      <w:marLeft w:val="0"/>
      <w:marRight w:val="0"/>
      <w:marTop w:val="0"/>
      <w:marBottom w:val="0"/>
      <w:divBdr>
        <w:top w:val="none" w:sz="0" w:space="0" w:color="auto"/>
        <w:left w:val="none" w:sz="0" w:space="0" w:color="auto"/>
        <w:bottom w:val="none" w:sz="0" w:space="0" w:color="auto"/>
        <w:right w:val="none" w:sz="0" w:space="0" w:color="auto"/>
      </w:divBdr>
    </w:div>
    <w:div w:id="683435894">
      <w:bodyDiv w:val="1"/>
      <w:marLeft w:val="0"/>
      <w:marRight w:val="0"/>
      <w:marTop w:val="0"/>
      <w:marBottom w:val="0"/>
      <w:divBdr>
        <w:top w:val="none" w:sz="0" w:space="0" w:color="auto"/>
        <w:left w:val="none" w:sz="0" w:space="0" w:color="auto"/>
        <w:bottom w:val="none" w:sz="0" w:space="0" w:color="auto"/>
        <w:right w:val="none" w:sz="0" w:space="0" w:color="auto"/>
      </w:divBdr>
    </w:div>
    <w:div w:id="751467578">
      <w:bodyDiv w:val="1"/>
      <w:marLeft w:val="0"/>
      <w:marRight w:val="0"/>
      <w:marTop w:val="0"/>
      <w:marBottom w:val="0"/>
      <w:divBdr>
        <w:top w:val="none" w:sz="0" w:space="0" w:color="auto"/>
        <w:left w:val="none" w:sz="0" w:space="0" w:color="auto"/>
        <w:bottom w:val="none" w:sz="0" w:space="0" w:color="auto"/>
        <w:right w:val="none" w:sz="0" w:space="0" w:color="auto"/>
      </w:divBdr>
    </w:div>
    <w:div w:id="844444112">
      <w:bodyDiv w:val="1"/>
      <w:marLeft w:val="0"/>
      <w:marRight w:val="0"/>
      <w:marTop w:val="0"/>
      <w:marBottom w:val="0"/>
      <w:divBdr>
        <w:top w:val="none" w:sz="0" w:space="0" w:color="auto"/>
        <w:left w:val="none" w:sz="0" w:space="0" w:color="auto"/>
        <w:bottom w:val="none" w:sz="0" w:space="0" w:color="auto"/>
        <w:right w:val="none" w:sz="0" w:space="0" w:color="auto"/>
      </w:divBdr>
    </w:div>
    <w:div w:id="885600364">
      <w:bodyDiv w:val="1"/>
      <w:marLeft w:val="0"/>
      <w:marRight w:val="0"/>
      <w:marTop w:val="0"/>
      <w:marBottom w:val="0"/>
      <w:divBdr>
        <w:top w:val="none" w:sz="0" w:space="0" w:color="auto"/>
        <w:left w:val="none" w:sz="0" w:space="0" w:color="auto"/>
        <w:bottom w:val="none" w:sz="0" w:space="0" w:color="auto"/>
        <w:right w:val="none" w:sz="0" w:space="0" w:color="auto"/>
      </w:divBdr>
    </w:div>
    <w:div w:id="908921433">
      <w:bodyDiv w:val="1"/>
      <w:marLeft w:val="0"/>
      <w:marRight w:val="0"/>
      <w:marTop w:val="0"/>
      <w:marBottom w:val="0"/>
      <w:divBdr>
        <w:top w:val="none" w:sz="0" w:space="0" w:color="auto"/>
        <w:left w:val="none" w:sz="0" w:space="0" w:color="auto"/>
        <w:bottom w:val="none" w:sz="0" w:space="0" w:color="auto"/>
        <w:right w:val="none" w:sz="0" w:space="0" w:color="auto"/>
      </w:divBdr>
    </w:div>
    <w:div w:id="1041393975">
      <w:bodyDiv w:val="1"/>
      <w:marLeft w:val="0"/>
      <w:marRight w:val="0"/>
      <w:marTop w:val="0"/>
      <w:marBottom w:val="0"/>
      <w:divBdr>
        <w:top w:val="none" w:sz="0" w:space="0" w:color="auto"/>
        <w:left w:val="none" w:sz="0" w:space="0" w:color="auto"/>
        <w:bottom w:val="none" w:sz="0" w:space="0" w:color="auto"/>
        <w:right w:val="none" w:sz="0" w:space="0" w:color="auto"/>
      </w:divBdr>
    </w:div>
    <w:div w:id="1262571908">
      <w:bodyDiv w:val="1"/>
      <w:marLeft w:val="0"/>
      <w:marRight w:val="0"/>
      <w:marTop w:val="0"/>
      <w:marBottom w:val="0"/>
      <w:divBdr>
        <w:top w:val="none" w:sz="0" w:space="0" w:color="auto"/>
        <w:left w:val="none" w:sz="0" w:space="0" w:color="auto"/>
        <w:bottom w:val="none" w:sz="0" w:space="0" w:color="auto"/>
        <w:right w:val="none" w:sz="0" w:space="0" w:color="auto"/>
      </w:divBdr>
    </w:div>
    <w:div w:id="1289704390">
      <w:bodyDiv w:val="1"/>
      <w:marLeft w:val="0"/>
      <w:marRight w:val="0"/>
      <w:marTop w:val="0"/>
      <w:marBottom w:val="0"/>
      <w:divBdr>
        <w:top w:val="none" w:sz="0" w:space="0" w:color="auto"/>
        <w:left w:val="none" w:sz="0" w:space="0" w:color="auto"/>
        <w:bottom w:val="none" w:sz="0" w:space="0" w:color="auto"/>
        <w:right w:val="none" w:sz="0" w:space="0" w:color="auto"/>
      </w:divBdr>
    </w:div>
    <w:div w:id="1320496251">
      <w:bodyDiv w:val="1"/>
      <w:marLeft w:val="0"/>
      <w:marRight w:val="0"/>
      <w:marTop w:val="0"/>
      <w:marBottom w:val="0"/>
      <w:divBdr>
        <w:top w:val="none" w:sz="0" w:space="0" w:color="auto"/>
        <w:left w:val="none" w:sz="0" w:space="0" w:color="auto"/>
        <w:bottom w:val="none" w:sz="0" w:space="0" w:color="auto"/>
        <w:right w:val="none" w:sz="0" w:space="0" w:color="auto"/>
      </w:divBdr>
    </w:div>
    <w:div w:id="1531796024">
      <w:bodyDiv w:val="1"/>
      <w:marLeft w:val="0"/>
      <w:marRight w:val="0"/>
      <w:marTop w:val="0"/>
      <w:marBottom w:val="0"/>
      <w:divBdr>
        <w:top w:val="none" w:sz="0" w:space="0" w:color="auto"/>
        <w:left w:val="none" w:sz="0" w:space="0" w:color="auto"/>
        <w:bottom w:val="none" w:sz="0" w:space="0" w:color="auto"/>
        <w:right w:val="none" w:sz="0" w:space="0" w:color="auto"/>
      </w:divBdr>
    </w:div>
    <w:div w:id="1747264183">
      <w:bodyDiv w:val="1"/>
      <w:marLeft w:val="0"/>
      <w:marRight w:val="0"/>
      <w:marTop w:val="0"/>
      <w:marBottom w:val="0"/>
      <w:divBdr>
        <w:top w:val="none" w:sz="0" w:space="0" w:color="auto"/>
        <w:left w:val="none" w:sz="0" w:space="0" w:color="auto"/>
        <w:bottom w:val="none" w:sz="0" w:space="0" w:color="auto"/>
        <w:right w:val="none" w:sz="0" w:space="0" w:color="auto"/>
      </w:divBdr>
    </w:div>
    <w:div w:id="1758550716">
      <w:bodyDiv w:val="1"/>
      <w:marLeft w:val="0"/>
      <w:marRight w:val="0"/>
      <w:marTop w:val="0"/>
      <w:marBottom w:val="0"/>
      <w:divBdr>
        <w:top w:val="none" w:sz="0" w:space="0" w:color="auto"/>
        <w:left w:val="none" w:sz="0" w:space="0" w:color="auto"/>
        <w:bottom w:val="none" w:sz="0" w:space="0" w:color="auto"/>
        <w:right w:val="none" w:sz="0" w:space="0" w:color="auto"/>
      </w:divBdr>
      <w:divsChild>
        <w:div w:id="2038001000">
          <w:marLeft w:val="0"/>
          <w:marRight w:val="0"/>
          <w:marTop w:val="0"/>
          <w:marBottom w:val="0"/>
          <w:divBdr>
            <w:top w:val="none" w:sz="0" w:space="0" w:color="auto"/>
            <w:left w:val="none" w:sz="0" w:space="0" w:color="auto"/>
            <w:bottom w:val="none" w:sz="0" w:space="0" w:color="auto"/>
            <w:right w:val="none" w:sz="0" w:space="0" w:color="auto"/>
          </w:divBdr>
          <w:divsChild>
            <w:div w:id="423503998">
              <w:marLeft w:val="0"/>
              <w:marRight w:val="0"/>
              <w:marTop w:val="0"/>
              <w:marBottom w:val="0"/>
              <w:divBdr>
                <w:top w:val="none" w:sz="0" w:space="0" w:color="auto"/>
                <w:left w:val="none" w:sz="0" w:space="0" w:color="auto"/>
                <w:bottom w:val="none" w:sz="0" w:space="0" w:color="auto"/>
                <w:right w:val="none" w:sz="0" w:space="0" w:color="auto"/>
              </w:divBdr>
              <w:divsChild>
                <w:div w:id="1686664771">
                  <w:marLeft w:val="0"/>
                  <w:marRight w:val="0"/>
                  <w:marTop w:val="0"/>
                  <w:marBottom w:val="0"/>
                  <w:divBdr>
                    <w:top w:val="none" w:sz="0" w:space="0" w:color="auto"/>
                    <w:left w:val="none" w:sz="0" w:space="0" w:color="auto"/>
                    <w:bottom w:val="none" w:sz="0" w:space="0" w:color="auto"/>
                    <w:right w:val="none" w:sz="0" w:space="0" w:color="auto"/>
                  </w:divBdr>
                  <w:divsChild>
                    <w:div w:id="582107820">
                      <w:marLeft w:val="0"/>
                      <w:marRight w:val="0"/>
                      <w:marTop w:val="0"/>
                      <w:marBottom w:val="0"/>
                      <w:divBdr>
                        <w:top w:val="none" w:sz="0" w:space="0" w:color="auto"/>
                        <w:left w:val="none" w:sz="0" w:space="0" w:color="auto"/>
                        <w:bottom w:val="none" w:sz="0" w:space="0" w:color="auto"/>
                        <w:right w:val="none" w:sz="0" w:space="0" w:color="auto"/>
                      </w:divBdr>
                      <w:divsChild>
                        <w:div w:id="1194467041">
                          <w:marLeft w:val="0"/>
                          <w:marRight w:val="0"/>
                          <w:marTop w:val="0"/>
                          <w:marBottom w:val="0"/>
                          <w:divBdr>
                            <w:top w:val="none" w:sz="0" w:space="0" w:color="auto"/>
                            <w:left w:val="none" w:sz="0" w:space="0" w:color="auto"/>
                            <w:bottom w:val="none" w:sz="0" w:space="0" w:color="auto"/>
                            <w:right w:val="none" w:sz="0" w:space="0" w:color="auto"/>
                          </w:divBdr>
                          <w:divsChild>
                            <w:div w:id="587689169">
                              <w:marLeft w:val="0"/>
                              <w:marRight w:val="0"/>
                              <w:marTop w:val="0"/>
                              <w:marBottom w:val="0"/>
                              <w:divBdr>
                                <w:top w:val="none" w:sz="0" w:space="0" w:color="auto"/>
                                <w:left w:val="none" w:sz="0" w:space="0" w:color="auto"/>
                                <w:bottom w:val="none" w:sz="0" w:space="0" w:color="auto"/>
                                <w:right w:val="none" w:sz="0" w:space="0" w:color="auto"/>
                              </w:divBdr>
                              <w:divsChild>
                                <w:div w:id="1028414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24853066">
      <w:bodyDiv w:val="1"/>
      <w:marLeft w:val="0"/>
      <w:marRight w:val="0"/>
      <w:marTop w:val="0"/>
      <w:marBottom w:val="0"/>
      <w:divBdr>
        <w:top w:val="none" w:sz="0" w:space="0" w:color="auto"/>
        <w:left w:val="none" w:sz="0" w:space="0" w:color="auto"/>
        <w:bottom w:val="none" w:sz="0" w:space="0" w:color="auto"/>
        <w:right w:val="none" w:sz="0" w:space="0" w:color="auto"/>
      </w:divBdr>
    </w:div>
    <w:div w:id="1835563565">
      <w:bodyDiv w:val="1"/>
      <w:marLeft w:val="0"/>
      <w:marRight w:val="0"/>
      <w:marTop w:val="0"/>
      <w:marBottom w:val="0"/>
      <w:divBdr>
        <w:top w:val="none" w:sz="0" w:space="0" w:color="auto"/>
        <w:left w:val="none" w:sz="0" w:space="0" w:color="auto"/>
        <w:bottom w:val="none" w:sz="0" w:space="0" w:color="auto"/>
        <w:right w:val="none" w:sz="0" w:space="0" w:color="auto"/>
      </w:divBdr>
    </w:div>
    <w:div w:id="1868445622">
      <w:bodyDiv w:val="1"/>
      <w:marLeft w:val="0"/>
      <w:marRight w:val="0"/>
      <w:marTop w:val="0"/>
      <w:marBottom w:val="0"/>
      <w:divBdr>
        <w:top w:val="none" w:sz="0" w:space="0" w:color="auto"/>
        <w:left w:val="none" w:sz="0" w:space="0" w:color="auto"/>
        <w:bottom w:val="none" w:sz="0" w:space="0" w:color="auto"/>
        <w:right w:val="none" w:sz="0" w:space="0" w:color="auto"/>
      </w:divBdr>
    </w:div>
    <w:div w:id="1934587838">
      <w:bodyDiv w:val="1"/>
      <w:marLeft w:val="0"/>
      <w:marRight w:val="0"/>
      <w:marTop w:val="0"/>
      <w:marBottom w:val="0"/>
      <w:divBdr>
        <w:top w:val="none" w:sz="0" w:space="0" w:color="auto"/>
        <w:left w:val="none" w:sz="0" w:space="0" w:color="auto"/>
        <w:bottom w:val="none" w:sz="0" w:space="0" w:color="auto"/>
        <w:right w:val="none" w:sz="0" w:space="0" w:color="auto"/>
      </w:divBdr>
    </w:div>
    <w:div w:id="21214124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TNR">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B2BE98-7AA7-4BA6-8F74-F6DD445DEB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3248</Words>
  <Characters>18514</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_</vt:lpstr>
    </vt:vector>
  </TitlesOfParts>
  <Manager/>
  <Company/>
  <LinksUpToDate>false</LinksUpToDate>
  <CharactersWithSpaces>21719</CharactersWithSpaces>
  <SharedDoc>false</SharedDoc>
  <HyperlinkBase>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dc:title>
  <dc:subject> </dc:subject>
  <dc:creator/>
  <cp:keywords> </cp:keywords>
  <dc:description> </dc:description>
  <cp:lastModifiedBy/>
  <cp:revision>1</cp:revision>
  <cp:lastPrinted>2013-12-09T14:05:00Z</cp:lastPrinted>
  <dcterms:created xsi:type="dcterms:W3CDTF">2014-07-12T17:02:00Z</dcterms:created>
  <dcterms:modified xsi:type="dcterms:W3CDTF">2014-07-14T14:11:00Z</dcterms:modified>
  <cp:category> </cp:category>
  <cp:contentStatus>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D">
    <vt:lpwstr>#26801277_v1</vt:lpwstr>
  </property>
</Properties>
</file>